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62A11" w14:textId="4857ACD0" w:rsidR="007E3A2B" w:rsidRPr="00D477B4" w:rsidRDefault="0090613C" w:rsidP="0090613C">
      <w:pPr>
        <w:spacing w:after="0" w:line="240" w:lineRule="auto"/>
        <w:jc w:val="center"/>
        <w:rPr>
          <w:rFonts w:cstheme="minorHAnsi"/>
          <w:b/>
          <w:sz w:val="28"/>
          <w:szCs w:val="28"/>
          <w:lang w:bidi="ar-EG"/>
        </w:rPr>
      </w:pPr>
      <w:bookmarkStart w:id="0" w:name="_Hlk29795498"/>
      <w:bookmarkStart w:id="1" w:name="_GoBack"/>
      <w:bookmarkEnd w:id="1"/>
      <w:r w:rsidRPr="00D477B4">
        <w:rPr>
          <w:rFonts w:cstheme="minorHAnsi"/>
          <w:b/>
          <w:sz w:val="28"/>
          <w:szCs w:val="28"/>
          <w:lang w:bidi="ar-EG"/>
        </w:rPr>
        <w:t>Terms of Reference</w:t>
      </w:r>
    </w:p>
    <w:bookmarkEnd w:id="0"/>
    <w:p w14:paraId="2B479D5E" w14:textId="5473F83F" w:rsidR="00EC126D" w:rsidRDefault="00EC126D" w:rsidP="00EC126D">
      <w:pPr>
        <w:spacing w:after="0" w:line="240" w:lineRule="auto"/>
        <w:jc w:val="center"/>
        <w:rPr>
          <w:rFonts w:cstheme="minorHAnsi"/>
          <w:b/>
          <w:sz w:val="28"/>
          <w:szCs w:val="28"/>
        </w:rPr>
      </w:pPr>
      <w:r w:rsidRPr="00EC126D">
        <w:rPr>
          <w:rFonts w:cstheme="minorHAnsi"/>
          <w:b/>
          <w:sz w:val="28"/>
          <w:szCs w:val="28"/>
        </w:rPr>
        <w:t>Modernize HR processes in the petroleum sector in Egypt and</w:t>
      </w:r>
      <w:r>
        <w:rPr>
          <w:rFonts w:cstheme="minorHAnsi"/>
          <w:b/>
          <w:sz w:val="28"/>
          <w:szCs w:val="28"/>
        </w:rPr>
        <w:t xml:space="preserve"> </w:t>
      </w:r>
      <w:r w:rsidRPr="00EC126D">
        <w:rPr>
          <w:rFonts w:cstheme="minorHAnsi"/>
          <w:b/>
          <w:sz w:val="28"/>
          <w:szCs w:val="28"/>
        </w:rPr>
        <w:t xml:space="preserve">launch the Leadership Talent Management Centre of Excellence (CoE)  </w:t>
      </w:r>
    </w:p>
    <w:sdt>
      <w:sdtPr>
        <w:rPr>
          <w:rFonts w:cstheme="minorHAnsi"/>
        </w:rPr>
        <w:id w:val="-1175801156"/>
        <w:docPartObj>
          <w:docPartGallery w:val="Cover Pages"/>
          <w:docPartUnique/>
        </w:docPartObj>
      </w:sdtPr>
      <w:sdtEndPr/>
      <w:sdtContent>
        <w:p w14:paraId="7E9E5070" w14:textId="5BFD9B9C" w:rsidR="007E3A2B" w:rsidRPr="00D477B4" w:rsidRDefault="007E3A2B" w:rsidP="00EC126D">
          <w:pPr>
            <w:spacing w:after="0" w:line="240" w:lineRule="auto"/>
            <w:rPr>
              <w:rFonts w:cstheme="minorHAnsi"/>
            </w:rPr>
          </w:pPr>
        </w:p>
        <w:p w14:paraId="6AB2586E" w14:textId="6B682DFD" w:rsidR="0090613C" w:rsidRPr="00D477B4" w:rsidRDefault="00AE69A2" w:rsidP="0090613C">
          <w:pPr>
            <w:spacing w:after="0" w:line="240" w:lineRule="auto"/>
            <w:rPr>
              <w:rFonts w:cstheme="minorHAnsi"/>
            </w:rPr>
          </w:pPr>
        </w:p>
      </w:sdtContent>
    </w:sdt>
    <w:p w14:paraId="6D5958E8" w14:textId="18252067" w:rsidR="00586AF3" w:rsidRPr="00D477B4" w:rsidRDefault="00CC47B4" w:rsidP="004B1BBA">
      <w:pPr>
        <w:pStyle w:val="ListParagraph"/>
        <w:numPr>
          <w:ilvl w:val="0"/>
          <w:numId w:val="39"/>
        </w:numPr>
        <w:spacing w:after="0" w:line="240" w:lineRule="auto"/>
        <w:rPr>
          <w:rFonts w:cstheme="minorHAnsi"/>
          <w:u w:val="single"/>
        </w:rPr>
      </w:pPr>
      <w:r w:rsidRPr="00D477B4">
        <w:rPr>
          <w:rFonts w:cstheme="minorHAnsi"/>
          <w:u w:val="single"/>
        </w:rPr>
        <w:t>Introduction</w:t>
      </w:r>
    </w:p>
    <w:p w14:paraId="1484B7E8" w14:textId="77777777" w:rsidR="008E65C3" w:rsidRPr="00D477B4" w:rsidRDefault="008E65C3" w:rsidP="00840664">
      <w:pPr>
        <w:pStyle w:val="ListParagraph"/>
        <w:spacing w:after="0" w:line="240" w:lineRule="auto"/>
        <w:ind w:left="0"/>
        <w:jc w:val="both"/>
        <w:rPr>
          <w:rFonts w:cstheme="minorHAnsi"/>
          <w:color w:val="FFFFFF" w:themeColor="background1"/>
        </w:rPr>
      </w:pPr>
    </w:p>
    <w:p w14:paraId="28580307" w14:textId="11A67BDB" w:rsidR="00160564" w:rsidRPr="00D477B4" w:rsidRDefault="009A6EF2" w:rsidP="00840664">
      <w:pPr>
        <w:pStyle w:val="ListParagraph"/>
        <w:spacing w:after="0" w:line="240" w:lineRule="auto"/>
        <w:ind w:left="0"/>
        <w:jc w:val="both"/>
        <w:rPr>
          <w:rFonts w:cstheme="minorHAnsi"/>
        </w:rPr>
      </w:pPr>
      <w:r w:rsidRPr="00D477B4">
        <w:rPr>
          <w:rFonts w:cstheme="minorHAnsi"/>
          <w:color w:val="000000"/>
        </w:rPr>
        <w:t>The Ministry of Petroleum (</w:t>
      </w:r>
      <w:r w:rsidR="007A47EA" w:rsidRPr="00D477B4">
        <w:rPr>
          <w:rFonts w:cstheme="minorHAnsi"/>
          <w:color w:val="000000"/>
        </w:rPr>
        <w:t>MOP</w:t>
      </w:r>
      <w:r w:rsidRPr="00D477B4">
        <w:rPr>
          <w:rFonts w:cstheme="minorHAnsi"/>
          <w:color w:val="000000"/>
        </w:rPr>
        <w:t xml:space="preserve">) is the Egyptian Governmental authority that supervises exploration, production, marketing and distribution of </w:t>
      </w:r>
      <w:hyperlink r:id="rId8" w:tooltip="Petroleum" w:history="1">
        <w:r w:rsidRPr="00D477B4">
          <w:rPr>
            <w:rFonts w:cstheme="minorHAnsi"/>
            <w:color w:val="000000"/>
          </w:rPr>
          <w:t>oil</w:t>
        </w:r>
      </w:hyperlink>
      <w:r w:rsidRPr="00D477B4">
        <w:rPr>
          <w:rFonts w:cstheme="minorHAnsi"/>
          <w:color w:val="000000"/>
        </w:rPr>
        <w:t xml:space="preserve">, gas and </w:t>
      </w:r>
      <w:hyperlink r:id="rId9" w:tooltip="Natural resources" w:history="1">
        <w:r w:rsidR="00A3669C" w:rsidRPr="00D477B4">
          <w:rPr>
            <w:rFonts w:cstheme="minorHAnsi"/>
            <w:color w:val="000000"/>
          </w:rPr>
          <w:t>mineral resources</w:t>
        </w:r>
      </w:hyperlink>
      <w:r w:rsidRPr="00D477B4">
        <w:rPr>
          <w:rFonts w:cstheme="minorHAnsi"/>
          <w:color w:val="000000"/>
        </w:rPr>
        <w:t xml:space="preserve">. </w:t>
      </w:r>
      <w:r w:rsidR="001F0578" w:rsidRPr="00D477B4">
        <w:rPr>
          <w:rFonts w:cstheme="minorHAnsi"/>
          <w:color w:val="000000"/>
        </w:rPr>
        <w:t>Oil and Gas</w:t>
      </w:r>
      <w:r w:rsidRPr="00D477B4">
        <w:rPr>
          <w:rFonts w:cstheme="minorHAnsi"/>
          <w:color w:val="000000"/>
        </w:rPr>
        <w:t xml:space="preserve"> sector in Egypt now consists of </w:t>
      </w:r>
      <w:r w:rsidR="001B5F82" w:rsidRPr="00D477B4">
        <w:rPr>
          <w:rFonts w:cstheme="minorHAnsi"/>
          <w:color w:val="000000"/>
        </w:rPr>
        <w:t xml:space="preserve">4 </w:t>
      </w:r>
      <w:r w:rsidRPr="00D477B4">
        <w:rPr>
          <w:rFonts w:cstheme="minorHAnsi"/>
          <w:color w:val="000000"/>
        </w:rPr>
        <w:t xml:space="preserve">state-owned </w:t>
      </w:r>
      <w:r w:rsidR="00422B29" w:rsidRPr="00D477B4">
        <w:rPr>
          <w:rFonts w:cstheme="minorHAnsi"/>
          <w:color w:val="000000"/>
        </w:rPr>
        <w:t xml:space="preserve">holding </w:t>
      </w:r>
      <w:r w:rsidRPr="00D477B4">
        <w:rPr>
          <w:rFonts w:cstheme="minorHAnsi"/>
          <w:color w:val="000000"/>
        </w:rPr>
        <w:t xml:space="preserve">entities, which are: the </w:t>
      </w:r>
      <w:hyperlink r:id="rId10" w:tooltip="Egyptian General Petroleum Corporation" w:history="1">
        <w:r w:rsidRPr="00D477B4">
          <w:rPr>
            <w:rFonts w:cstheme="minorHAnsi"/>
            <w:color w:val="000000"/>
          </w:rPr>
          <w:t>Egyptian General Petroleum Corporation</w:t>
        </w:r>
      </w:hyperlink>
      <w:r w:rsidRPr="00D477B4">
        <w:rPr>
          <w:rFonts w:cstheme="minorHAnsi"/>
          <w:color w:val="000000"/>
        </w:rPr>
        <w:t xml:space="preserve"> (EGPC), </w:t>
      </w:r>
      <w:hyperlink r:id="rId11" w:tooltip="Egyptian Natural Gas Holding Company" w:history="1">
        <w:r w:rsidRPr="00D477B4">
          <w:rPr>
            <w:rFonts w:cstheme="minorHAnsi"/>
            <w:color w:val="000000"/>
          </w:rPr>
          <w:t>Egyptian Natural Gas Holding Company</w:t>
        </w:r>
      </w:hyperlink>
      <w:r w:rsidRPr="00D477B4">
        <w:rPr>
          <w:rFonts w:cstheme="minorHAnsi"/>
          <w:color w:val="000000"/>
        </w:rPr>
        <w:t xml:space="preserve"> (EGAS), </w:t>
      </w:r>
      <w:hyperlink r:id="rId12" w:tooltip="Egyptian Petrochemicals Holding Company (page does not exist)" w:history="1">
        <w:r w:rsidRPr="00D477B4">
          <w:rPr>
            <w:rFonts w:cstheme="minorHAnsi"/>
            <w:color w:val="000000"/>
          </w:rPr>
          <w:t>Egyptian Petrochemicals Holding Company</w:t>
        </w:r>
      </w:hyperlink>
      <w:r w:rsidRPr="00D477B4">
        <w:rPr>
          <w:rFonts w:cstheme="minorHAnsi"/>
          <w:color w:val="000000"/>
        </w:rPr>
        <w:t xml:space="preserve"> (ECHEM),</w:t>
      </w:r>
      <w:r w:rsidR="001B5F82" w:rsidRPr="00D477B4">
        <w:rPr>
          <w:rFonts w:cstheme="minorHAnsi"/>
          <w:color w:val="000000"/>
        </w:rPr>
        <w:t xml:space="preserve"> and</w:t>
      </w:r>
      <w:r w:rsidRPr="00D477B4">
        <w:rPr>
          <w:rFonts w:cstheme="minorHAnsi"/>
          <w:color w:val="000000"/>
        </w:rPr>
        <w:t xml:space="preserve"> </w:t>
      </w:r>
      <w:r w:rsidR="000D087B" w:rsidRPr="00D477B4">
        <w:rPr>
          <w:rFonts w:cstheme="minorHAnsi"/>
        </w:rPr>
        <w:t>South Valley Egyptian Petroleum</w:t>
      </w:r>
      <w:r w:rsidR="002C0F8E" w:rsidRPr="00D477B4">
        <w:rPr>
          <w:rFonts w:cstheme="minorHAnsi"/>
        </w:rPr>
        <w:t xml:space="preserve"> Holding </w:t>
      </w:r>
      <w:r w:rsidR="000D087B" w:rsidRPr="00D477B4">
        <w:rPr>
          <w:rFonts w:cstheme="minorHAnsi"/>
        </w:rPr>
        <w:t>Company (GANOPE)</w:t>
      </w:r>
      <w:r w:rsidRPr="00D477B4">
        <w:rPr>
          <w:rFonts w:cstheme="minorHAnsi"/>
          <w:color w:val="000000"/>
        </w:rPr>
        <w:t>.</w:t>
      </w:r>
      <w:r w:rsidR="002C33F4" w:rsidRPr="00D477B4">
        <w:rPr>
          <w:rFonts w:cstheme="minorHAnsi"/>
          <w:color w:val="000000"/>
        </w:rPr>
        <w:t xml:space="preserve"> </w:t>
      </w:r>
      <w:r w:rsidR="00160564" w:rsidRPr="00D477B4">
        <w:rPr>
          <w:rFonts w:cstheme="minorHAnsi"/>
        </w:rPr>
        <w:t xml:space="preserve">It was </w:t>
      </w:r>
      <w:r w:rsidR="007A47EA" w:rsidRPr="00D477B4">
        <w:rPr>
          <w:rFonts w:cstheme="minorHAnsi"/>
        </w:rPr>
        <w:t>identified</w:t>
      </w:r>
      <w:r w:rsidR="001F0578" w:rsidRPr="00D477B4">
        <w:rPr>
          <w:rFonts w:cstheme="minorHAnsi"/>
        </w:rPr>
        <w:t xml:space="preserve"> </w:t>
      </w:r>
      <w:r w:rsidR="00160564" w:rsidRPr="00D477B4">
        <w:rPr>
          <w:rFonts w:cstheme="minorHAnsi"/>
        </w:rPr>
        <w:t xml:space="preserve">that the current sector structure is not </w:t>
      </w:r>
      <w:r w:rsidR="0092023E" w:rsidRPr="00D477B4">
        <w:rPr>
          <w:rFonts w:cstheme="minorHAnsi"/>
        </w:rPr>
        <w:t>optimal</w:t>
      </w:r>
      <w:r w:rsidR="00160564" w:rsidRPr="00D477B4">
        <w:rPr>
          <w:rFonts w:cstheme="minorHAnsi"/>
        </w:rPr>
        <w:t xml:space="preserve"> and </w:t>
      </w:r>
      <w:r w:rsidR="00CC47B4" w:rsidRPr="00D477B4">
        <w:rPr>
          <w:rFonts w:cstheme="minorHAnsi"/>
        </w:rPr>
        <w:t>requires</w:t>
      </w:r>
      <w:r w:rsidR="00160564" w:rsidRPr="00D477B4">
        <w:rPr>
          <w:rFonts w:cstheme="minorHAnsi"/>
        </w:rPr>
        <w:t xml:space="preserve"> sector</w:t>
      </w:r>
      <w:r w:rsidR="001F0578" w:rsidRPr="00D477B4">
        <w:rPr>
          <w:rFonts w:cstheme="minorHAnsi"/>
        </w:rPr>
        <w:t xml:space="preserve"> structure</w:t>
      </w:r>
      <w:r w:rsidR="00160564" w:rsidRPr="00D477B4">
        <w:rPr>
          <w:rFonts w:cstheme="minorHAnsi"/>
        </w:rPr>
        <w:t xml:space="preserve"> reforms to </w:t>
      </w:r>
      <w:r w:rsidR="0001757A" w:rsidRPr="00D477B4">
        <w:rPr>
          <w:rFonts w:cstheme="minorHAnsi"/>
        </w:rPr>
        <w:t>meet</w:t>
      </w:r>
      <w:r w:rsidR="00160564" w:rsidRPr="00D477B4">
        <w:rPr>
          <w:rFonts w:cstheme="minorHAnsi"/>
        </w:rPr>
        <w:t xml:space="preserve"> international benchmarks.</w:t>
      </w:r>
    </w:p>
    <w:p w14:paraId="3A9D53CD" w14:textId="77777777" w:rsidR="00056E99" w:rsidRPr="00D477B4" w:rsidRDefault="00056E99" w:rsidP="00840664">
      <w:pPr>
        <w:pStyle w:val="ListParagraph"/>
        <w:spacing w:after="0" w:line="240" w:lineRule="auto"/>
        <w:ind w:left="0"/>
        <w:jc w:val="both"/>
        <w:rPr>
          <w:rFonts w:cstheme="minorHAnsi"/>
        </w:rPr>
      </w:pPr>
    </w:p>
    <w:p w14:paraId="7C001E8D" w14:textId="77777777" w:rsidR="00283BCF" w:rsidRDefault="009A6EF2" w:rsidP="00840664">
      <w:pPr>
        <w:spacing w:after="0" w:line="240" w:lineRule="auto"/>
        <w:jc w:val="both"/>
        <w:rPr>
          <w:rFonts w:cstheme="minorHAnsi"/>
        </w:rPr>
      </w:pPr>
      <w:r w:rsidRPr="00D477B4">
        <w:rPr>
          <w:rFonts w:cstheme="minorHAnsi"/>
        </w:rPr>
        <w:t>The World Bank with financial support from</w:t>
      </w:r>
      <w:r w:rsidR="0060598B" w:rsidRPr="00D477B4">
        <w:rPr>
          <w:rFonts w:cstheme="minorHAnsi"/>
        </w:rPr>
        <w:t xml:space="preserve"> the</w:t>
      </w:r>
      <w:r w:rsidRPr="00D477B4">
        <w:rPr>
          <w:rFonts w:cstheme="minorHAnsi"/>
        </w:rPr>
        <w:t xml:space="preserve"> Government of</w:t>
      </w:r>
      <w:r w:rsidR="0060598B" w:rsidRPr="00D477B4">
        <w:rPr>
          <w:rFonts w:cstheme="minorHAnsi"/>
        </w:rPr>
        <w:t xml:space="preserve"> the</w:t>
      </w:r>
      <w:r w:rsidRPr="00D477B4">
        <w:rPr>
          <w:rFonts w:cstheme="minorHAnsi"/>
        </w:rPr>
        <w:t xml:space="preserve"> United Kingdom has launched </w:t>
      </w:r>
      <w:r w:rsidR="001F7393" w:rsidRPr="00D477B4">
        <w:rPr>
          <w:rFonts w:cstheme="minorHAnsi"/>
        </w:rPr>
        <w:t>the</w:t>
      </w:r>
      <w:r w:rsidRPr="00D477B4">
        <w:rPr>
          <w:rFonts w:cstheme="minorHAnsi"/>
        </w:rPr>
        <w:t xml:space="preserve"> Strategic Partnership for Egypt’s Inclusive Growth (SPEIG) UK Trust Fund. Among the activities supported by SPEIG is the design and implementation support for a comprehensive </w:t>
      </w:r>
      <w:r w:rsidR="0060598B" w:rsidRPr="00D477B4">
        <w:rPr>
          <w:rFonts w:cstheme="minorHAnsi"/>
        </w:rPr>
        <w:t>modernization project</w:t>
      </w:r>
      <w:r w:rsidRPr="00D477B4">
        <w:rPr>
          <w:rFonts w:cstheme="minorHAnsi"/>
        </w:rPr>
        <w:t xml:space="preserve"> of </w:t>
      </w:r>
      <w:r w:rsidR="0060598B" w:rsidRPr="00D477B4">
        <w:rPr>
          <w:rFonts w:cstheme="minorHAnsi"/>
        </w:rPr>
        <w:t xml:space="preserve">oil </w:t>
      </w:r>
      <w:r w:rsidRPr="00D477B4">
        <w:rPr>
          <w:rFonts w:cstheme="minorHAnsi"/>
        </w:rPr>
        <w:t xml:space="preserve">and gas sector in Egypt (Modernization </w:t>
      </w:r>
      <w:r w:rsidR="001526D4" w:rsidRPr="00D477B4">
        <w:rPr>
          <w:rFonts w:cstheme="minorHAnsi"/>
        </w:rPr>
        <w:t>Project</w:t>
      </w:r>
      <w:r w:rsidRPr="00D477B4">
        <w:rPr>
          <w:rFonts w:cstheme="minorHAnsi"/>
        </w:rPr>
        <w:t xml:space="preserve">). </w:t>
      </w:r>
      <w:r w:rsidR="00591E2C" w:rsidRPr="00D477B4">
        <w:rPr>
          <w:rFonts w:cstheme="minorHAnsi"/>
        </w:rPr>
        <w:t xml:space="preserve">The modernization project is intended to attain the three government objectives for the sector of reducing fiscal deficit, attracting private sector capital - especially foreign investments in the petroleum and gas sector in Egypt-, and demonstrating a role model for improving public sector governance within Egypt. </w:t>
      </w:r>
    </w:p>
    <w:p w14:paraId="5C13ED6E" w14:textId="77777777" w:rsidR="00283BCF" w:rsidRDefault="00283BCF" w:rsidP="00840664">
      <w:pPr>
        <w:spacing w:after="0" w:line="240" w:lineRule="auto"/>
        <w:jc w:val="both"/>
        <w:rPr>
          <w:rFonts w:cstheme="minorHAnsi"/>
        </w:rPr>
      </w:pPr>
    </w:p>
    <w:p w14:paraId="6B6F11CF" w14:textId="2BA10A46" w:rsidR="00840664" w:rsidRPr="00D477B4" w:rsidRDefault="00982FFD" w:rsidP="00840664">
      <w:pPr>
        <w:spacing w:after="0" w:line="240" w:lineRule="auto"/>
        <w:jc w:val="both"/>
        <w:rPr>
          <w:rFonts w:cstheme="minorHAnsi"/>
        </w:rPr>
      </w:pPr>
      <w:r w:rsidRPr="00D477B4">
        <w:rPr>
          <w:rFonts w:cstheme="minorHAnsi"/>
        </w:rPr>
        <w:t xml:space="preserve">One of the programs </w:t>
      </w:r>
      <w:r w:rsidR="009A6EF2" w:rsidRPr="00D477B4">
        <w:rPr>
          <w:rFonts w:cstheme="minorHAnsi"/>
        </w:rPr>
        <w:t>of the Modernization</w:t>
      </w:r>
      <w:r w:rsidR="007A47EA" w:rsidRPr="00D477B4">
        <w:rPr>
          <w:rFonts w:cstheme="minorHAnsi"/>
        </w:rPr>
        <w:t xml:space="preserve"> </w:t>
      </w:r>
      <w:r w:rsidR="00577058" w:rsidRPr="00D477B4">
        <w:rPr>
          <w:rFonts w:cstheme="minorHAnsi"/>
        </w:rPr>
        <w:t>Project</w:t>
      </w:r>
      <w:r w:rsidR="009A6EF2" w:rsidRPr="00D477B4">
        <w:rPr>
          <w:rFonts w:cstheme="minorHAnsi"/>
        </w:rPr>
        <w:t xml:space="preserve"> </w:t>
      </w:r>
      <w:r w:rsidR="003122D0" w:rsidRPr="00D477B4">
        <w:rPr>
          <w:rFonts w:cstheme="minorHAnsi"/>
        </w:rPr>
        <w:t>led by</w:t>
      </w:r>
      <w:r w:rsidR="00686497" w:rsidRPr="00D477B4">
        <w:rPr>
          <w:rFonts w:cstheme="minorHAnsi"/>
        </w:rPr>
        <w:t xml:space="preserve"> </w:t>
      </w:r>
      <w:r w:rsidR="00577058" w:rsidRPr="00D477B4">
        <w:rPr>
          <w:rFonts w:cstheme="minorHAnsi"/>
        </w:rPr>
        <w:t>MOP</w:t>
      </w:r>
      <w:r w:rsidR="0060598B" w:rsidRPr="00D477B4">
        <w:rPr>
          <w:rFonts w:cstheme="minorHAnsi"/>
        </w:rPr>
        <w:t xml:space="preserve"> </w:t>
      </w:r>
      <w:r w:rsidR="00683279" w:rsidRPr="00D477B4">
        <w:rPr>
          <w:rFonts w:cstheme="minorHAnsi"/>
        </w:rPr>
        <w:t>is the i</w:t>
      </w:r>
      <w:r w:rsidR="009A6EF2" w:rsidRPr="00D477B4">
        <w:rPr>
          <w:rFonts w:cstheme="minorHAnsi"/>
        </w:rPr>
        <w:t>mprov</w:t>
      </w:r>
      <w:r w:rsidR="00683279" w:rsidRPr="00D477B4">
        <w:rPr>
          <w:rFonts w:cstheme="minorHAnsi"/>
        </w:rPr>
        <w:t>ement of</w:t>
      </w:r>
      <w:r w:rsidR="009A6EF2" w:rsidRPr="00D477B4">
        <w:rPr>
          <w:rFonts w:cstheme="minorHAnsi"/>
        </w:rPr>
        <w:t xml:space="preserve"> human resource </w:t>
      </w:r>
      <w:r w:rsidR="00C145AC" w:rsidRPr="00D477B4">
        <w:rPr>
          <w:rFonts w:cstheme="minorHAnsi"/>
        </w:rPr>
        <w:t xml:space="preserve">management </w:t>
      </w:r>
      <w:r w:rsidR="002C33F4" w:rsidRPr="00D477B4">
        <w:rPr>
          <w:rFonts w:cstheme="minorHAnsi"/>
        </w:rPr>
        <w:t>in the sector</w:t>
      </w:r>
      <w:r w:rsidR="006C17D5" w:rsidRPr="00D477B4">
        <w:rPr>
          <w:rFonts w:cstheme="minorHAnsi"/>
        </w:rPr>
        <w:t>, in particular performance management, competence development assessment and succession planning</w:t>
      </w:r>
      <w:r w:rsidR="00683279" w:rsidRPr="00D477B4">
        <w:rPr>
          <w:rFonts w:cstheme="minorHAnsi"/>
        </w:rPr>
        <w:t>.</w:t>
      </w:r>
      <w:r w:rsidR="009A6EF2" w:rsidRPr="00D477B4">
        <w:rPr>
          <w:rFonts w:cstheme="minorHAnsi"/>
        </w:rPr>
        <w:t xml:space="preserve"> </w:t>
      </w:r>
      <w:r w:rsidR="00383534" w:rsidRPr="00D477B4">
        <w:rPr>
          <w:rFonts w:cstheme="minorHAnsi"/>
        </w:rPr>
        <w:t xml:space="preserve">MOP now </w:t>
      </w:r>
      <w:r w:rsidR="0013335C" w:rsidRPr="00D477B4">
        <w:rPr>
          <w:rFonts w:cstheme="minorHAnsi"/>
        </w:rPr>
        <w:t xml:space="preserve">wants to hire a consultant to support the </w:t>
      </w:r>
      <w:r w:rsidR="00E10EB7" w:rsidRPr="00D477B4">
        <w:rPr>
          <w:rFonts w:cstheme="minorHAnsi"/>
        </w:rPr>
        <w:t>next steps in the improvement of human resources management.</w:t>
      </w:r>
    </w:p>
    <w:p w14:paraId="03BF5D97" w14:textId="77777777" w:rsidR="00246D0A" w:rsidRPr="00D477B4" w:rsidRDefault="00246D0A" w:rsidP="00840664">
      <w:pPr>
        <w:spacing w:after="0" w:line="240" w:lineRule="auto"/>
        <w:jc w:val="both"/>
        <w:rPr>
          <w:rFonts w:cstheme="minorHAnsi"/>
        </w:rPr>
      </w:pPr>
    </w:p>
    <w:p w14:paraId="5511A230" w14:textId="3770A5E7" w:rsidR="00D65E38" w:rsidRPr="00D477B4" w:rsidRDefault="00CC47B4" w:rsidP="004B1BBA">
      <w:pPr>
        <w:pStyle w:val="ListParagraph"/>
        <w:numPr>
          <w:ilvl w:val="0"/>
          <w:numId w:val="39"/>
        </w:numPr>
        <w:spacing w:after="0" w:line="240" w:lineRule="auto"/>
        <w:jc w:val="both"/>
        <w:rPr>
          <w:rFonts w:cstheme="minorHAnsi"/>
          <w:u w:val="single"/>
        </w:rPr>
      </w:pPr>
      <w:r w:rsidRPr="00D477B4">
        <w:rPr>
          <w:rFonts w:cstheme="minorHAnsi"/>
          <w:u w:val="single"/>
        </w:rPr>
        <w:t>Objectives</w:t>
      </w:r>
    </w:p>
    <w:p w14:paraId="58ED4C4F" w14:textId="77777777" w:rsidR="00C74720" w:rsidRPr="00D477B4" w:rsidRDefault="00C74720" w:rsidP="00840664">
      <w:pPr>
        <w:pStyle w:val="ListParagraph"/>
        <w:spacing w:after="0" w:line="240" w:lineRule="auto"/>
        <w:ind w:left="0"/>
        <w:jc w:val="both"/>
        <w:rPr>
          <w:rFonts w:cstheme="minorHAnsi"/>
        </w:rPr>
      </w:pPr>
    </w:p>
    <w:p w14:paraId="7CD6F4E2" w14:textId="7382E89D" w:rsidR="002820D0" w:rsidRDefault="00040B97" w:rsidP="00E42611">
      <w:pPr>
        <w:shd w:val="clear" w:color="auto" w:fill="FFFFFF"/>
        <w:spacing w:after="0" w:line="240" w:lineRule="auto"/>
        <w:rPr>
          <w:rFonts w:cstheme="minorHAnsi"/>
        </w:rPr>
      </w:pPr>
      <w:r w:rsidRPr="00040B97">
        <w:rPr>
          <w:rFonts w:cstheme="minorHAnsi"/>
        </w:rPr>
        <w:t>The objective of this assignment is to modernize HR processes in the petroleum sector in Egypt related to performance evaluation, competency development and succession planning to better equip the sector with a qualified, capable and well performing work force and</w:t>
      </w:r>
      <w:r w:rsidR="002820D0">
        <w:rPr>
          <w:rFonts w:cstheme="minorHAnsi"/>
        </w:rPr>
        <w:t xml:space="preserve"> to</w:t>
      </w:r>
      <w:r w:rsidRPr="00040B97">
        <w:rPr>
          <w:rFonts w:cstheme="minorHAnsi"/>
        </w:rPr>
        <w:t xml:space="preserve"> creat</w:t>
      </w:r>
      <w:r w:rsidR="002820D0">
        <w:rPr>
          <w:rFonts w:cstheme="minorHAnsi"/>
        </w:rPr>
        <w:t>e</w:t>
      </w:r>
      <w:r w:rsidRPr="00040B97">
        <w:rPr>
          <w:rFonts w:cstheme="minorHAnsi"/>
        </w:rPr>
        <w:t xml:space="preserve"> a Leadership Talent Management Centre of Excellence</w:t>
      </w:r>
      <w:r w:rsidR="004F5FF4">
        <w:rPr>
          <w:rFonts w:cstheme="minorHAnsi"/>
        </w:rPr>
        <w:t xml:space="preserve"> (CoE)</w:t>
      </w:r>
      <w:r w:rsidRPr="00040B97">
        <w:rPr>
          <w:rFonts w:cstheme="minorHAnsi"/>
        </w:rPr>
        <w:t>, in charge of coordinating/managing the core HR processes, in close collaboration with the HR Functions of the sector companies</w:t>
      </w:r>
      <w:r w:rsidR="002820D0">
        <w:rPr>
          <w:rFonts w:cstheme="minorHAnsi"/>
        </w:rPr>
        <w:t>.</w:t>
      </w:r>
    </w:p>
    <w:p w14:paraId="09E887C6" w14:textId="55857B45" w:rsidR="00E42611" w:rsidRPr="002820D0" w:rsidRDefault="00E42611" w:rsidP="00E42611">
      <w:pPr>
        <w:shd w:val="clear" w:color="auto" w:fill="FFFFFF"/>
        <w:spacing w:after="0" w:line="240" w:lineRule="auto"/>
        <w:rPr>
          <w:rFonts w:eastAsia="Times New Roman" w:cstheme="minorHAnsi"/>
          <w:color w:val="222222"/>
        </w:rPr>
      </w:pPr>
      <w:r w:rsidRPr="00D477B4">
        <w:rPr>
          <w:rFonts w:eastAsia="Times New Roman" w:cstheme="minorHAnsi"/>
          <w:i/>
          <w:iCs/>
          <w:color w:val="222222"/>
        </w:rPr>
        <w:t> </w:t>
      </w:r>
    </w:p>
    <w:p w14:paraId="6E6861CA" w14:textId="250F1076" w:rsidR="00F25352" w:rsidRPr="00D477B4" w:rsidRDefault="00CC47B4" w:rsidP="004B1BBA">
      <w:pPr>
        <w:pStyle w:val="ListParagraph"/>
        <w:numPr>
          <w:ilvl w:val="0"/>
          <w:numId w:val="39"/>
        </w:numPr>
        <w:spacing w:after="0" w:line="240" w:lineRule="auto"/>
        <w:jc w:val="both"/>
        <w:rPr>
          <w:rFonts w:cstheme="minorHAnsi"/>
          <w:u w:val="single"/>
        </w:rPr>
      </w:pPr>
      <w:r w:rsidRPr="00D477B4">
        <w:rPr>
          <w:rFonts w:cstheme="minorHAnsi"/>
          <w:u w:val="single"/>
        </w:rPr>
        <w:t>Scope of Work</w:t>
      </w:r>
    </w:p>
    <w:p w14:paraId="20476286" w14:textId="77777777" w:rsidR="006B2AAB" w:rsidRPr="00D477B4" w:rsidRDefault="006B2AAB" w:rsidP="00EF6169">
      <w:pPr>
        <w:spacing w:after="0" w:line="240" w:lineRule="auto"/>
        <w:jc w:val="both"/>
        <w:rPr>
          <w:rFonts w:cstheme="minorHAnsi"/>
        </w:rPr>
      </w:pPr>
    </w:p>
    <w:p w14:paraId="584ABD3F" w14:textId="05373A9B" w:rsidR="009C780A" w:rsidRPr="00D477B4" w:rsidRDefault="00870CF4" w:rsidP="00436D0C">
      <w:pPr>
        <w:spacing w:after="0" w:line="240" w:lineRule="auto"/>
        <w:jc w:val="both"/>
        <w:rPr>
          <w:rFonts w:cstheme="minorHAnsi"/>
          <w:b/>
          <w:bCs/>
          <w:u w:val="single"/>
        </w:rPr>
      </w:pPr>
      <w:r w:rsidRPr="00D477B4">
        <w:rPr>
          <w:rFonts w:cstheme="minorHAnsi"/>
        </w:rPr>
        <w:t xml:space="preserve">The scope of work </w:t>
      </w:r>
      <w:r w:rsidR="00C56E9D" w:rsidRPr="00D477B4">
        <w:rPr>
          <w:rFonts w:cstheme="minorHAnsi"/>
        </w:rPr>
        <w:t>shall include</w:t>
      </w:r>
      <w:r w:rsidR="009C780A" w:rsidRPr="00D477B4">
        <w:rPr>
          <w:rFonts w:cstheme="minorHAnsi"/>
        </w:rPr>
        <w:t>:</w:t>
      </w:r>
    </w:p>
    <w:p w14:paraId="0F51DCA5" w14:textId="3D780BFA" w:rsidR="007435B9" w:rsidRPr="00D477B4" w:rsidRDefault="007435B9" w:rsidP="003D2696">
      <w:pPr>
        <w:spacing w:after="0" w:line="240" w:lineRule="auto"/>
        <w:jc w:val="both"/>
        <w:rPr>
          <w:rFonts w:cstheme="minorHAnsi"/>
          <w:lang w:val="en-GB"/>
        </w:rPr>
      </w:pPr>
    </w:p>
    <w:p w14:paraId="3167967A" w14:textId="27AF6987" w:rsidR="00E42611" w:rsidRPr="00D477B4" w:rsidRDefault="002474E3" w:rsidP="00576B9B">
      <w:pPr>
        <w:pStyle w:val="ListParagraph"/>
        <w:numPr>
          <w:ilvl w:val="0"/>
          <w:numId w:val="33"/>
        </w:numPr>
        <w:spacing w:after="0" w:line="240" w:lineRule="auto"/>
        <w:ind w:left="810" w:hanging="270"/>
        <w:jc w:val="both"/>
        <w:rPr>
          <w:rFonts w:cstheme="minorHAnsi"/>
          <w:lang w:val="en-GB"/>
        </w:rPr>
      </w:pPr>
      <w:r w:rsidRPr="00D477B4">
        <w:rPr>
          <w:rFonts w:cstheme="minorHAnsi"/>
          <w:lang w:val="en-GB"/>
        </w:rPr>
        <w:t xml:space="preserve">Develop a </w:t>
      </w:r>
      <w:r w:rsidR="008E2A5B" w:rsidRPr="00D477B4">
        <w:rPr>
          <w:rFonts w:cstheme="minorHAnsi"/>
          <w:lang w:val="en-GB"/>
        </w:rPr>
        <w:t>Career Progression</w:t>
      </w:r>
      <w:r w:rsidRPr="00D477B4">
        <w:rPr>
          <w:rFonts w:cstheme="minorHAnsi"/>
          <w:lang w:val="en-GB"/>
        </w:rPr>
        <w:t xml:space="preserve"> </w:t>
      </w:r>
      <w:r w:rsidR="003D2696" w:rsidRPr="00D477B4">
        <w:rPr>
          <w:rFonts w:cstheme="minorHAnsi"/>
          <w:lang w:val="en-GB"/>
        </w:rPr>
        <w:t xml:space="preserve">Planning </w:t>
      </w:r>
      <w:r w:rsidR="00D76AD3" w:rsidRPr="00D477B4">
        <w:rPr>
          <w:rFonts w:cstheme="minorHAnsi"/>
          <w:lang w:val="en-GB"/>
        </w:rPr>
        <w:t>S</w:t>
      </w:r>
      <w:r w:rsidR="00DC34EA" w:rsidRPr="00D477B4">
        <w:rPr>
          <w:rFonts w:cstheme="minorHAnsi"/>
          <w:lang w:val="en-GB"/>
        </w:rPr>
        <w:t>y</w:t>
      </w:r>
      <w:r w:rsidR="00D76AD3" w:rsidRPr="00D477B4">
        <w:rPr>
          <w:rFonts w:cstheme="minorHAnsi"/>
          <w:lang w:val="en-GB"/>
        </w:rPr>
        <w:t>stem</w:t>
      </w:r>
      <w:r w:rsidR="00F626DF" w:rsidRPr="00D477B4">
        <w:rPr>
          <w:rFonts w:cstheme="minorHAnsi"/>
          <w:lang w:val="en-GB"/>
        </w:rPr>
        <w:t xml:space="preserve"> </w:t>
      </w:r>
      <w:r w:rsidR="00B37F69" w:rsidRPr="00D477B4">
        <w:rPr>
          <w:rFonts w:cstheme="minorHAnsi"/>
          <w:lang w:val="en-GB"/>
        </w:rPr>
        <w:t xml:space="preserve">for the petroleum sector </w:t>
      </w:r>
      <w:r w:rsidR="00D251D2" w:rsidRPr="00D477B4">
        <w:rPr>
          <w:rFonts w:cstheme="minorHAnsi"/>
          <w:lang w:val="en-GB"/>
        </w:rPr>
        <w:t xml:space="preserve">to more accurately assess employee </w:t>
      </w:r>
      <w:r w:rsidR="00AB0406" w:rsidRPr="00D477B4">
        <w:rPr>
          <w:rFonts w:cstheme="minorHAnsi"/>
          <w:lang w:val="en-GB"/>
        </w:rPr>
        <w:t xml:space="preserve">competency development </w:t>
      </w:r>
      <w:r w:rsidR="00F12820" w:rsidRPr="00D176C0">
        <w:rPr>
          <w:rFonts w:cstheme="minorHAnsi"/>
          <w:lang w:val="en-GB"/>
        </w:rPr>
        <w:t>meeting the following criteria</w:t>
      </w:r>
      <w:r w:rsidR="004D5CEF" w:rsidRPr="00D477B4">
        <w:rPr>
          <w:rFonts w:cstheme="minorHAnsi"/>
          <w:lang w:val="en-GB"/>
        </w:rPr>
        <w:t>:</w:t>
      </w:r>
    </w:p>
    <w:p w14:paraId="1C5875C5" w14:textId="77777777" w:rsidR="00E42611" w:rsidRPr="00D477B4" w:rsidRDefault="00E42611" w:rsidP="00E42611">
      <w:pPr>
        <w:pStyle w:val="ListParagraph"/>
        <w:spacing w:after="0" w:line="240" w:lineRule="auto"/>
        <w:ind w:left="1333"/>
        <w:jc w:val="both"/>
        <w:rPr>
          <w:rFonts w:cstheme="minorHAnsi"/>
          <w:lang w:val="en-GB"/>
        </w:rPr>
      </w:pPr>
    </w:p>
    <w:p w14:paraId="1B85EE09" w14:textId="23DE8E61" w:rsidR="00D76AD3" w:rsidRPr="00D477B4" w:rsidRDefault="00DA6B14" w:rsidP="00D76AD3">
      <w:pPr>
        <w:pStyle w:val="ListParagraph"/>
        <w:numPr>
          <w:ilvl w:val="0"/>
          <w:numId w:val="28"/>
        </w:numPr>
        <w:spacing w:after="0" w:line="240" w:lineRule="auto"/>
        <w:jc w:val="both"/>
        <w:rPr>
          <w:rFonts w:cstheme="minorHAnsi"/>
          <w:lang w:val="en-GB"/>
        </w:rPr>
      </w:pPr>
      <w:r w:rsidRPr="00D477B4">
        <w:rPr>
          <w:rFonts w:cstheme="minorHAnsi"/>
          <w:lang w:val="en-GB"/>
        </w:rPr>
        <w:t>Distinguishes</w:t>
      </w:r>
      <w:r w:rsidR="00D76AD3" w:rsidRPr="00D477B4">
        <w:rPr>
          <w:rFonts w:cstheme="minorHAnsi"/>
          <w:lang w:val="en-GB"/>
        </w:rPr>
        <w:t xml:space="preserve"> detailed career progression plans for both technical and managerial tracks</w:t>
      </w:r>
    </w:p>
    <w:p w14:paraId="35D585AE" w14:textId="31E60C39" w:rsidR="004B0914" w:rsidRPr="00D477B4" w:rsidRDefault="00FE282C" w:rsidP="00D76AD3">
      <w:pPr>
        <w:pStyle w:val="ListParagraph"/>
        <w:numPr>
          <w:ilvl w:val="0"/>
          <w:numId w:val="28"/>
        </w:numPr>
        <w:spacing w:after="0" w:line="240" w:lineRule="auto"/>
        <w:jc w:val="both"/>
        <w:rPr>
          <w:rFonts w:cstheme="minorHAnsi"/>
          <w:lang w:val="en-GB"/>
        </w:rPr>
      </w:pPr>
      <w:r w:rsidRPr="00D477B4">
        <w:rPr>
          <w:rFonts w:cstheme="minorHAnsi"/>
          <w:lang w:val="en-GB"/>
        </w:rPr>
        <w:t xml:space="preserve">Is based on a </w:t>
      </w:r>
      <w:r w:rsidR="002425DE" w:rsidRPr="00D477B4">
        <w:rPr>
          <w:rFonts w:cstheme="minorHAnsi"/>
          <w:lang w:val="en-GB"/>
        </w:rPr>
        <w:t xml:space="preserve">competency </w:t>
      </w:r>
      <w:r w:rsidRPr="00D477B4">
        <w:rPr>
          <w:rFonts w:cstheme="minorHAnsi"/>
          <w:lang w:val="en-GB"/>
        </w:rPr>
        <w:t>framework</w:t>
      </w:r>
      <w:r w:rsidR="00C71F05" w:rsidRPr="00D477B4">
        <w:rPr>
          <w:rFonts w:cstheme="minorHAnsi"/>
          <w:lang w:val="en-GB"/>
        </w:rPr>
        <w:t xml:space="preserve"> across all</w:t>
      </w:r>
      <w:r w:rsidRPr="00D477B4">
        <w:rPr>
          <w:rFonts w:cstheme="minorHAnsi"/>
          <w:lang w:val="en-GB"/>
        </w:rPr>
        <w:t xml:space="preserve"> </w:t>
      </w:r>
      <w:r w:rsidR="00504669" w:rsidRPr="00D477B4">
        <w:rPr>
          <w:rFonts w:cstheme="minorHAnsi"/>
          <w:lang w:val="en-GB"/>
        </w:rPr>
        <w:t xml:space="preserve">job group levels </w:t>
      </w:r>
      <w:r w:rsidR="00740E6C" w:rsidRPr="00D477B4">
        <w:rPr>
          <w:rFonts w:cstheme="minorHAnsi"/>
          <w:lang w:val="en-GB"/>
        </w:rPr>
        <w:t xml:space="preserve">in the sector </w:t>
      </w:r>
      <w:r w:rsidR="00504669" w:rsidRPr="00D477B4">
        <w:rPr>
          <w:rFonts w:cstheme="minorHAnsi"/>
          <w:lang w:val="en-GB"/>
        </w:rPr>
        <w:t>with clear qualification requirements</w:t>
      </w:r>
    </w:p>
    <w:p w14:paraId="2FB35D14" w14:textId="34AA1E4A" w:rsidR="00A76D5E" w:rsidRPr="00D477B4" w:rsidRDefault="00A76D5E" w:rsidP="00A76D5E">
      <w:pPr>
        <w:pStyle w:val="ListParagraph"/>
        <w:numPr>
          <w:ilvl w:val="0"/>
          <w:numId w:val="28"/>
        </w:numPr>
        <w:spacing w:after="0" w:line="240" w:lineRule="auto"/>
        <w:jc w:val="both"/>
        <w:rPr>
          <w:rFonts w:cstheme="minorHAnsi"/>
          <w:lang w:val="en-GB"/>
        </w:rPr>
      </w:pPr>
      <w:r w:rsidRPr="00D477B4">
        <w:rPr>
          <w:rFonts w:cstheme="minorHAnsi"/>
          <w:lang w:val="en-GB"/>
        </w:rPr>
        <w:lastRenderedPageBreak/>
        <w:t xml:space="preserve">Has a process for advancing staff by evaluating readiness and </w:t>
      </w:r>
      <w:r w:rsidR="006C17D5" w:rsidRPr="00D477B4">
        <w:rPr>
          <w:rFonts w:cstheme="minorHAnsi"/>
          <w:lang w:val="en-GB"/>
        </w:rPr>
        <w:t>competency development area</w:t>
      </w:r>
      <w:r w:rsidRPr="00D477B4">
        <w:rPr>
          <w:rFonts w:cstheme="minorHAnsi"/>
          <w:lang w:val="en-GB"/>
        </w:rPr>
        <w:t xml:space="preserve">s, constructive feedback and </w:t>
      </w:r>
      <w:r w:rsidR="00F90B00" w:rsidRPr="00D477B4">
        <w:rPr>
          <w:rFonts w:cstheme="minorHAnsi"/>
          <w:lang w:val="en-GB"/>
        </w:rPr>
        <w:t xml:space="preserve">preparing </w:t>
      </w:r>
      <w:r w:rsidRPr="00D477B4">
        <w:rPr>
          <w:rFonts w:cstheme="minorHAnsi"/>
          <w:lang w:val="en-GB"/>
        </w:rPr>
        <w:t xml:space="preserve">development plans addressing competency </w:t>
      </w:r>
      <w:r w:rsidR="00216169" w:rsidRPr="00D477B4">
        <w:rPr>
          <w:rFonts w:cstheme="minorHAnsi"/>
          <w:lang w:val="en-GB"/>
        </w:rPr>
        <w:t>development areas</w:t>
      </w:r>
      <w:r w:rsidRPr="00D477B4">
        <w:rPr>
          <w:rFonts w:cstheme="minorHAnsi"/>
          <w:lang w:val="en-GB"/>
        </w:rPr>
        <w:t xml:space="preserve"> on a continuous basis. </w:t>
      </w:r>
    </w:p>
    <w:p w14:paraId="75F0ABE1" w14:textId="63A3BD74" w:rsidR="002E05F3" w:rsidRPr="00D477B4" w:rsidRDefault="008F76C7" w:rsidP="0095605C">
      <w:pPr>
        <w:pStyle w:val="ListParagraph"/>
        <w:numPr>
          <w:ilvl w:val="0"/>
          <w:numId w:val="28"/>
        </w:numPr>
        <w:spacing w:after="0" w:line="240" w:lineRule="auto"/>
        <w:jc w:val="both"/>
        <w:rPr>
          <w:rFonts w:cstheme="minorHAnsi"/>
          <w:lang w:val="en-GB"/>
        </w:rPr>
      </w:pPr>
      <w:r w:rsidRPr="00D477B4">
        <w:rPr>
          <w:rFonts w:cstheme="minorHAnsi"/>
          <w:lang w:val="en-GB"/>
        </w:rPr>
        <w:t>Embed</w:t>
      </w:r>
      <w:r w:rsidR="008E2A5B" w:rsidRPr="00D477B4">
        <w:rPr>
          <w:rFonts w:cstheme="minorHAnsi"/>
          <w:lang w:val="en-GB"/>
        </w:rPr>
        <w:t>s</w:t>
      </w:r>
      <w:r w:rsidRPr="00D477B4">
        <w:rPr>
          <w:rFonts w:cstheme="minorHAnsi"/>
          <w:lang w:val="en-GB"/>
        </w:rPr>
        <w:t xml:space="preserve"> </w:t>
      </w:r>
      <w:r w:rsidR="004D2F6C" w:rsidRPr="00D477B4">
        <w:rPr>
          <w:rFonts w:cstheme="minorHAnsi"/>
          <w:lang w:val="en-GB"/>
        </w:rPr>
        <w:t>an objective</w:t>
      </w:r>
      <w:r w:rsidRPr="00D477B4">
        <w:rPr>
          <w:rFonts w:cstheme="minorHAnsi"/>
          <w:lang w:val="en-GB"/>
        </w:rPr>
        <w:t xml:space="preserve"> </w:t>
      </w:r>
      <w:r w:rsidR="005C25DA" w:rsidRPr="00D477B4">
        <w:rPr>
          <w:rFonts w:cstheme="minorHAnsi"/>
          <w:lang w:val="en-GB"/>
        </w:rPr>
        <w:t xml:space="preserve">assessment </w:t>
      </w:r>
      <w:r w:rsidR="00D67EAE" w:rsidRPr="00D477B4">
        <w:rPr>
          <w:rFonts w:cstheme="minorHAnsi"/>
          <w:lang w:val="en-GB"/>
        </w:rPr>
        <w:t>methodology</w:t>
      </w:r>
      <w:r w:rsidR="0061567D" w:rsidRPr="00D477B4">
        <w:rPr>
          <w:rFonts w:cstheme="minorHAnsi"/>
          <w:lang w:val="en-GB"/>
        </w:rPr>
        <w:t xml:space="preserve"> </w:t>
      </w:r>
      <w:r w:rsidR="00076B65" w:rsidRPr="00D477B4">
        <w:rPr>
          <w:rFonts w:cstheme="minorHAnsi"/>
          <w:lang w:val="en-GB"/>
        </w:rPr>
        <w:t xml:space="preserve">for </w:t>
      </w:r>
      <w:r w:rsidR="00774846" w:rsidRPr="00D477B4">
        <w:rPr>
          <w:rFonts w:cstheme="minorHAnsi"/>
          <w:lang w:val="en-GB"/>
        </w:rPr>
        <w:t>succession</w:t>
      </w:r>
      <w:r w:rsidR="00076B65" w:rsidRPr="00D477B4">
        <w:rPr>
          <w:rFonts w:cstheme="minorHAnsi"/>
          <w:lang w:val="en-GB"/>
        </w:rPr>
        <w:t xml:space="preserve"> planning</w:t>
      </w:r>
      <w:r w:rsidR="006E04C8" w:rsidRPr="00D477B4">
        <w:rPr>
          <w:rFonts w:cstheme="minorHAnsi"/>
          <w:lang w:val="en-GB"/>
        </w:rPr>
        <w:t xml:space="preserve"> </w:t>
      </w:r>
      <w:r w:rsidR="00D47732" w:rsidRPr="00D477B4">
        <w:rPr>
          <w:rFonts w:cstheme="minorHAnsi"/>
          <w:lang w:val="en-GB"/>
        </w:rPr>
        <w:t xml:space="preserve">based on the competency </w:t>
      </w:r>
      <w:r w:rsidR="00093F37" w:rsidRPr="00D477B4">
        <w:rPr>
          <w:rFonts w:cstheme="minorHAnsi"/>
          <w:lang w:val="en-GB"/>
        </w:rPr>
        <w:t xml:space="preserve">framework </w:t>
      </w:r>
      <w:r w:rsidR="006E04C8" w:rsidRPr="00D477B4">
        <w:rPr>
          <w:rFonts w:cstheme="minorHAnsi"/>
          <w:lang w:val="en-GB"/>
        </w:rPr>
        <w:t>that determines promotion readiness</w:t>
      </w:r>
      <w:r w:rsidR="0061567D" w:rsidRPr="00D477B4">
        <w:rPr>
          <w:rFonts w:cstheme="minorHAnsi"/>
          <w:lang w:val="en-GB"/>
        </w:rPr>
        <w:t xml:space="preserve"> and </w:t>
      </w:r>
      <w:r w:rsidR="006A1A23" w:rsidRPr="00D477B4">
        <w:rPr>
          <w:rFonts w:cstheme="minorHAnsi"/>
          <w:lang w:val="en-GB"/>
        </w:rPr>
        <w:t>ide</w:t>
      </w:r>
      <w:r w:rsidR="00E36686" w:rsidRPr="00D477B4">
        <w:rPr>
          <w:rFonts w:cstheme="minorHAnsi"/>
          <w:lang w:val="en-GB"/>
        </w:rPr>
        <w:t>n</w:t>
      </w:r>
      <w:r w:rsidR="006A1A23" w:rsidRPr="00D477B4">
        <w:rPr>
          <w:rFonts w:cstheme="minorHAnsi"/>
          <w:lang w:val="en-GB"/>
        </w:rPr>
        <w:t>tifies</w:t>
      </w:r>
      <w:r w:rsidR="00164909" w:rsidRPr="00D477B4">
        <w:rPr>
          <w:rFonts w:cstheme="minorHAnsi"/>
          <w:lang w:val="en-GB"/>
        </w:rPr>
        <w:t xml:space="preserve"> </w:t>
      </w:r>
      <w:r w:rsidR="00093F37" w:rsidRPr="00D477B4">
        <w:rPr>
          <w:rFonts w:cstheme="minorHAnsi"/>
          <w:lang w:val="en-GB"/>
        </w:rPr>
        <w:t>competency</w:t>
      </w:r>
      <w:r w:rsidR="00164909" w:rsidRPr="00D477B4">
        <w:rPr>
          <w:rFonts w:cstheme="minorHAnsi"/>
          <w:lang w:val="en-GB"/>
        </w:rPr>
        <w:t xml:space="preserve"> </w:t>
      </w:r>
      <w:r w:rsidR="00216169" w:rsidRPr="00D477B4">
        <w:rPr>
          <w:rFonts w:cstheme="minorHAnsi"/>
          <w:lang w:val="en-GB"/>
        </w:rPr>
        <w:t>development areas</w:t>
      </w:r>
      <w:r w:rsidR="002E05F3" w:rsidRPr="00D477B4">
        <w:rPr>
          <w:rFonts w:cstheme="minorHAnsi"/>
          <w:lang w:val="en-GB"/>
        </w:rPr>
        <w:t xml:space="preserve">. </w:t>
      </w:r>
    </w:p>
    <w:p w14:paraId="0573357D" w14:textId="7805C2FE" w:rsidR="00086807" w:rsidRPr="00D477B4" w:rsidRDefault="00086807" w:rsidP="00086807">
      <w:pPr>
        <w:pStyle w:val="ListParagraph"/>
        <w:numPr>
          <w:ilvl w:val="0"/>
          <w:numId w:val="28"/>
        </w:numPr>
        <w:spacing w:after="0" w:line="240" w:lineRule="auto"/>
        <w:jc w:val="both"/>
        <w:rPr>
          <w:rFonts w:cstheme="minorHAnsi"/>
          <w:lang w:val="en-GB"/>
        </w:rPr>
      </w:pPr>
      <w:r w:rsidRPr="00D477B4">
        <w:rPr>
          <w:rFonts w:cstheme="minorHAnsi"/>
          <w:lang w:val="en-GB"/>
        </w:rPr>
        <w:t xml:space="preserve">includes an effective talent development system to address </w:t>
      </w:r>
      <w:r w:rsidR="00093F37" w:rsidRPr="00D477B4">
        <w:rPr>
          <w:rFonts w:cstheme="minorHAnsi"/>
          <w:lang w:val="en-GB"/>
        </w:rPr>
        <w:t>competency</w:t>
      </w:r>
      <w:r w:rsidRPr="00D477B4">
        <w:rPr>
          <w:rFonts w:cstheme="minorHAnsi"/>
          <w:lang w:val="en-GB"/>
        </w:rPr>
        <w:t xml:space="preserve"> </w:t>
      </w:r>
      <w:r w:rsidR="006C17D5" w:rsidRPr="00D477B4">
        <w:rPr>
          <w:rFonts w:cstheme="minorHAnsi"/>
          <w:lang w:val="en-GB"/>
        </w:rPr>
        <w:t>development areas</w:t>
      </w:r>
      <w:r w:rsidRPr="00D477B4">
        <w:rPr>
          <w:rFonts w:cstheme="minorHAnsi"/>
          <w:lang w:val="en-GB"/>
        </w:rPr>
        <w:t xml:space="preserve"> </w:t>
      </w:r>
      <w:r w:rsidR="006A1A23" w:rsidRPr="00D477B4">
        <w:rPr>
          <w:rFonts w:cstheme="minorHAnsi"/>
          <w:lang w:val="en-GB"/>
        </w:rPr>
        <w:t>through training</w:t>
      </w:r>
      <w:r w:rsidR="00C3590A" w:rsidRPr="00D477B4">
        <w:rPr>
          <w:rFonts w:cstheme="minorHAnsi"/>
          <w:lang w:val="en-GB"/>
        </w:rPr>
        <w:t xml:space="preserve"> </w:t>
      </w:r>
      <w:r w:rsidR="006A1A23" w:rsidRPr="00D477B4">
        <w:rPr>
          <w:rFonts w:cstheme="minorHAnsi"/>
          <w:lang w:val="en-GB"/>
        </w:rPr>
        <w:t xml:space="preserve">and </w:t>
      </w:r>
      <w:r w:rsidR="00AF5390" w:rsidRPr="00D477B4">
        <w:rPr>
          <w:rFonts w:cstheme="minorHAnsi"/>
          <w:lang w:val="en-GB"/>
        </w:rPr>
        <w:t>development</w:t>
      </w:r>
      <w:r w:rsidR="006A1A23" w:rsidRPr="00D477B4">
        <w:rPr>
          <w:rFonts w:cstheme="minorHAnsi"/>
          <w:lang w:val="en-GB"/>
        </w:rPr>
        <w:t xml:space="preserve"> assignments.</w:t>
      </w:r>
    </w:p>
    <w:p w14:paraId="1016707B" w14:textId="387B80E9" w:rsidR="006C17D5" w:rsidRPr="00D477B4" w:rsidRDefault="006C17D5" w:rsidP="00086807">
      <w:pPr>
        <w:pStyle w:val="ListParagraph"/>
        <w:numPr>
          <w:ilvl w:val="0"/>
          <w:numId w:val="28"/>
        </w:numPr>
        <w:spacing w:after="0" w:line="240" w:lineRule="auto"/>
        <w:jc w:val="both"/>
        <w:rPr>
          <w:rFonts w:cstheme="minorHAnsi"/>
          <w:lang w:val="en-GB"/>
        </w:rPr>
      </w:pPr>
      <w:r w:rsidRPr="00D477B4">
        <w:rPr>
          <w:rFonts w:cstheme="minorHAnsi"/>
          <w:lang w:val="en-GB"/>
        </w:rPr>
        <w:t xml:space="preserve">Includes a succession planning methodology for </w:t>
      </w:r>
      <w:r w:rsidR="00686399" w:rsidRPr="00D477B4">
        <w:rPr>
          <w:rFonts w:cstheme="minorHAnsi"/>
          <w:lang w:val="en-GB"/>
        </w:rPr>
        <w:t xml:space="preserve">positions down to N-2 level aiming to have several candidates with readiness to fill in positions opened by attrition. </w:t>
      </w:r>
    </w:p>
    <w:p w14:paraId="5F503017" w14:textId="681C7522" w:rsidR="0095605C" w:rsidRPr="00D477B4" w:rsidRDefault="0095605C" w:rsidP="0095605C">
      <w:pPr>
        <w:pStyle w:val="ListParagraph"/>
        <w:numPr>
          <w:ilvl w:val="0"/>
          <w:numId w:val="28"/>
        </w:numPr>
        <w:spacing w:after="0" w:line="240" w:lineRule="auto"/>
        <w:jc w:val="both"/>
        <w:rPr>
          <w:rFonts w:cstheme="minorHAnsi"/>
          <w:lang w:val="en-GB"/>
        </w:rPr>
      </w:pPr>
      <w:r w:rsidRPr="00D477B4">
        <w:rPr>
          <w:rFonts w:cstheme="minorHAnsi"/>
          <w:lang w:val="en-GB"/>
        </w:rPr>
        <w:t>Refocus</w:t>
      </w:r>
      <w:r w:rsidR="00CF7228" w:rsidRPr="00D477B4">
        <w:rPr>
          <w:rFonts w:cstheme="minorHAnsi"/>
          <w:lang w:val="en-GB"/>
        </w:rPr>
        <w:t>es the</w:t>
      </w:r>
      <w:r w:rsidRPr="00D477B4">
        <w:rPr>
          <w:rFonts w:cstheme="minorHAnsi"/>
          <w:lang w:val="en-GB"/>
        </w:rPr>
        <w:t xml:space="preserve"> hiring process on recruiting candidates</w:t>
      </w:r>
      <w:r w:rsidR="000324EC" w:rsidRPr="00D477B4">
        <w:rPr>
          <w:rFonts w:cstheme="minorHAnsi"/>
          <w:lang w:val="en-GB"/>
        </w:rPr>
        <w:t xml:space="preserve"> qualified for entry-level jobs</w:t>
      </w:r>
      <w:r w:rsidRPr="00D477B4">
        <w:rPr>
          <w:rFonts w:cstheme="minorHAnsi"/>
          <w:lang w:val="en-GB"/>
        </w:rPr>
        <w:t xml:space="preserve"> </w:t>
      </w:r>
      <w:r w:rsidR="00BD3D66" w:rsidRPr="00D477B4">
        <w:rPr>
          <w:rFonts w:cstheme="minorHAnsi"/>
          <w:lang w:val="en-GB"/>
        </w:rPr>
        <w:t xml:space="preserve">as well as </w:t>
      </w:r>
      <w:r w:rsidR="00C85F47" w:rsidRPr="00D477B4">
        <w:rPr>
          <w:rFonts w:cstheme="minorHAnsi"/>
          <w:lang w:val="en-GB"/>
        </w:rPr>
        <w:t>more senior jobs based on the competency framework.</w:t>
      </w:r>
    </w:p>
    <w:p w14:paraId="29636CC6" w14:textId="77777777" w:rsidR="00E8454F" w:rsidRPr="00D477B4" w:rsidRDefault="00E8454F" w:rsidP="00E8454F">
      <w:pPr>
        <w:pStyle w:val="ListParagraph"/>
        <w:numPr>
          <w:ilvl w:val="0"/>
          <w:numId w:val="28"/>
        </w:numPr>
        <w:spacing w:after="0" w:line="240" w:lineRule="auto"/>
        <w:jc w:val="both"/>
        <w:rPr>
          <w:rFonts w:cstheme="minorHAnsi"/>
          <w:lang w:val="en-GB"/>
        </w:rPr>
      </w:pPr>
      <w:r w:rsidRPr="00D477B4">
        <w:rPr>
          <w:rFonts w:cstheme="minorHAnsi"/>
          <w:lang w:val="en-GB"/>
        </w:rPr>
        <w:t>is simple (i.e. leverages technology to create a unified approach to ensure consistency across business units, organizational levels, and geographic areas), transparent (i.e. encourages clarity and integrity, and minimizes politics), diverse (recognizes diversity as an organizational strength), and robust (builds leadership capabilities at every level and creates a “succession culture”).</w:t>
      </w:r>
    </w:p>
    <w:p w14:paraId="67CBB360" w14:textId="6BA44396" w:rsidR="004B5FF6" w:rsidRPr="008B742A" w:rsidRDefault="00B63D65" w:rsidP="00CB0991">
      <w:pPr>
        <w:pStyle w:val="ListParagraph"/>
        <w:numPr>
          <w:ilvl w:val="0"/>
          <w:numId w:val="28"/>
        </w:numPr>
        <w:spacing w:after="0" w:line="240" w:lineRule="auto"/>
        <w:jc w:val="both"/>
        <w:rPr>
          <w:rFonts w:cstheme="minorHAnsi"/>
          <w:lang w:val="en-GB"/>
        </w:rPr>
      </w:pPr>
      <w:r w:rsidRPr="00D477B4">
        <w:rPr>
          <w:rFonts w:cstheme="minorHAnsi"/>
          <w:lang w:val="en-GB"/>
        </w:rPr>
        <w:t>Is b</w:t>
      </w:r>
      <w:r w:rsidR="00C57AD4" w:rsidRPr="00D477B4">
        <w:rPr>
          <w:rFonts w:cstheme="minorHAnsi"/>
          <w:lang w:val="en-GB"/>
        </w:rPr>
        <w:t>enchmark</w:t>
      </w:r>
      <w:r w:rsidRPr="00D477B4">
        <w:rPr>
          <w:rFonts w:cstheme="minorHAnsi"/>
          <w:lang w:val="en-GB"/>
        </w:rPr>
        <w:t>ed</w:t>
      </w:r>
      <w:r w:rsidR="00C57AD4" w:rsidRPr="00D477B4">
        <w:rPr>
          <w:rFonts w:cstheme="minorHAnsi"/>
          <w:lang w:val="en-GB"/>
        </w:rPr>
        <w:t xml:space="preserve"> with a few selected top companies to understand best-practice process options.</w:t>
      </w:r>
    </w:p>
    <w:p w14:paraId="3E3A70FB" w14:textId="77777777" w:rsidR="00CB0991" w:rsidRPr="00D477B4" w:rsidRDefault="00CB0991" w:rsidP="00CB0991">
      <w:pPr>
        <w:spacing w:after="0" w:line="240" w:lineRule="auto"/>
        <w:jc w:val="both"/>
        <w:rPr>
          <w:rFonts w:cstheme="minorHAnsi"/>
          <w:lang w:val="en-GB"/>
        </w:rPr>
      </w:pPr>
    </w:p>
    <w:p w14:paraId="5605E092" w14:textId="2F09DF12" w:rsidR="00E42611" w:rsidRPr="00D477B4" w:rsidRDefault="008249D6" w:rsidP="00445457">
      <w:pPr>
        <w:pStyle w:val="ListParagraph"/>
        <w:numPr>
          <w:ilvl w:val="0"/>
          <w:numId w:val="33"/>
        </w:numPr>
        <w:spacing w:after="0" w:line="240" w:lineRule="auto"/>
        <w:ind w:left="810" w:hanging="270"/>
        <w:jc w:val="both"/>
        <w:rPr>
          <w:rFonts w:cstheme="minorHAnsi"/>
          <w:lang w:val="en-GB"/>
        </w:rPr>
      </w:pPr>
      <w:r w:rsidRPr="00D477B4">
        <w:rPr>
          <w:rFonts w:cstheme="minorHAnsi"/>
          <w:lang w:val="en-GB"/>
        </w:rPr>
        <w:t>Develop</w:t>
      </w:r>
      <w:r w:rsidR="00A7149B" w:rsidRPr="00D477B4">
        <w:rPr>
          <w:rFonts w:cstheme="minorHAnsi"/>
          <w:lang w:val="en-GB"/>
        </w:rPr>
        <w:t xml:space="preserve"> a performance evaluation system </w:t>
      </w:r>
      <w:r w:rsidR="00D251D2" w:rsidRPr="00D477B4">
        <w:rPr>
          <w:rFonts w:cstheme="minorHAnsi"/>
          <w:lang w:val="en-GB"/>
        </w:rPr>
        <w:t xml:space="preserve">for the petroleum sector </w:t>
      </w:r>
      <w:r w:rsidR="00A7149B" w:rsidRPr="00D477B4">
        <w:rPr>
          <w:rFonts w:cstheme="minorHAnsi"/>
          <w:lang w:val="en-GB"/>
        </w:rPr>
        <w:t>to more accurately assess employee performance</w:t>
      </w:r>
      <w:r w:rsidR="005A3786" w:rsidRPr="00D477B4">
        <w:rPr>
          <w:rFonts w:cstheme="minorHAnsi"/>
          <w:lang w:val="en-GB"/>
        </w:rPr>
        <w:t xml:space="preserve"> that:</w:t>
      </w:r>
    </w:p>
    <w:p w14:paraId="28AF1DDF" w14:textId="77777777" w:rsidR="003A165F" w:rsidRPr="00D477B4" w:rsidRDefault="003A165F" w:rsidP="00E7209D">
      <w:pPr>
        <w:pStyle w:val="ListParagraph"/>
        <w:spacing w:after="0" w:line="240" w:lineRule="auto"/>
        <w:jc w:val="both"/>
        <w:rPr>
          <w:rFonts w:cstheme="minorHAnsi"/>
          <w:lang w:val="en-GB"/>
        </w:rPr>
      </w:pPr>
    </w:p>
    <w:p w14:paraId="7CF48277" w14:textId="57B17CC2" w:rsidR="00162468" w:rsidRPr="00D477B4" w:rsidRDefault="007D2043" w:rsidP="00492745">
      <w:pPr>
        <w:pStyle w:val="ListParagraph"/>
        <w:numPr>
          <w:ilvl w:val="0"/>
          <w:numId w:val="30"/>
        </w:numPr>
        <w:spacing w:after="0" w:line="240" w:lineRule="auto"/>
        <w:jc w:val="both"/>
        <w:rPr>
          <w:rFonts w:cstheme="minorHAnsi"/>
          <w:lang w:val="en-GB"/>
        </w:rPr>
      </w:pPr>
      <w:r w:rsidRPr="00D477B4">
        <w:rPr>
          <w:rFonts w:cstheme="minorHAnsi"/>
          <w:lang w:val="en-GB"/>
        </w:rPr>
        <w:t>Has a process for evaluating</w:t>
      </w:r>
      <w:r w:rsidR="007A2F07" w:rsidRPr="00D477B4">
        <w:rPr>
          <w:rFonts w:cstheme="minorHAnsi"/>
          <w:lang w:val="en-GB"/>
        </w:rPr>
        <w:t xml:space="preserve"> staff performance</w:t>
      </w:r>
      <w:r w:rsidRPr="00D477B4">
        <w:rPr>
          <w:rFonts w:cstheme="minorHAnsi"/>
          <w:lang w:val="en-GB"/>
        </w:rPr>
        <w:t xml:space="preserve"> on a continuous basis</w:t>
      </w:r>
      <w:r w:rsidR="00795C94" w:rsidRPr="00D477B4">
        <w:rPr>
          <w:rFonts w:cstheme="minorHAnsi"/>
          <w:lang w:val="en-GB"/>
        </w:rPr>
        <w:t>.</w:t>
      </w:r>
      <w:r w:rsidRPr="00D477B4">
        <w:rPr>
          <w:rFonts w:cstheme="minorHAnsi"/>
          <w:lang w:val="en-GB"/>
        </w:rPr>
        <w:t xml:space="preserve"> </w:t>
      </w:r>
    </w:p>
    <w:p w14:paraId="4F0C0F51" w14:textId="7417ADE8" w:rsidR="00042FE6" w:rsidRPr="00D477B4" w:rsidRDefault="00666B28" w:rsidP="00492745">
      <w:pPr>
        <w:pStyle w:val="ListParagraph"/>
        <w:numPr>
          <w:ilvl w:val="0"/>
          <w:numId w:val="30"/>
        </w:numPr>
        <w:spacing w:after="0" w:line="240" w:lineRule="auto"/>
        <w:jc w:val="both"/>
        <w:rPr>
          <w:rFonts w:cstheme="minorHAnsi"/>
          <w:lang w:val="en-GB"/>
        </w:rPr>
      </w:pPr>
      <w:r w:rsidRPr="00D477B4">
        <w:rPr>
          <w:rFonts w:cstheme="minorHAnsi"/>
          <w:lang w:val="en-GB"/>
        </w:rPr>
        <w:t xml:space="preserve">Recognizes </w:t>
      </w:r>
      <w:r w:rsidR="002E4B5F" w:rsidRPr="00D477B4">
        <w:rPr>
          <w:rFonts w:cstheme="minorHAnsi"/>
          <w:lang w:val="en-GB"/>
        </w:rPr>
        <w:t>achievements as well as improvements areas</w:t>
      </w:r>
    </w:p>
    <w:p w14:paraId="4B7798D6" w14:textId="6CE773A8" w:rsidR="002E4B5F" w:rsidRPr="00D477B4" w:rsidRDefault="006A5FD3" w:rsidP="00492745">
      <w:pPr>
        <w:pStyle w:val="ListParagraph"/>
        <w:numPr>
          <w:ilvl w:val="0"/>
          <w:numId w:val="30"/>
        </w:numPr>
        <w:spacing w:after="0" w:line="240" w:lineRule="auto"/>
        <w:jc w:val="both"/>
        <w:rPr>
          <w:rFonts w:cstheme="minorHAnsi"/>
          <w:lang w:val="en-GB"/>
        </w:rPr>
      </w:pPr>
      <w:r w:rsidRPr="00D477B4">
        <w:rPr>
          <w:rFonts w:cstheme="minorHAnsi"/>
          <w:lang w:val="en-GB"/>
        </w:rPr>
        <w:t xml:space="preserve">Instils a cultural change </w:t>
      </w:r>
      <w:r w:rsidR="004B7E3F" w:rsidRPr="00D477B4">
        <w:rPr>
          <w:rFonts w:cstheme="minorHAnsi"/>
          <w:lang w:val="en-GB"/>
        </w:rPr>
        <w:t xml:space="preserve">of open constructive feedback </w:t>
      </w:r>
      <w:r w:rsidR="00371529" w:rsidRPr="00D477B4">
        <w:rPr>
          <w:rFonts w:cstheme="minorHAnsi"/>
          <w:lang w:val="en-GB"/>
        </w:rPr>
        <w:t>focussed on supporting continuous improvement</w:t>
      </w:r>
    </w:p>
    <w:p w14:paraId="0506F3D3" w14:textId="7E90489B" w:rsidR="00317526" w:rsidRPr="00D477B4" w:rsidRDefault="00317526" w:rsidP="00492745">
      <w:pPr>
        <w:pStyle w:val="ListParagraph"/>
        <w:numPr>
          <w:ilvl w:val="0"/>
          <w:numId w:val="30"/>
        </w:numPr>
        <w:spacing w:after="0" w:line="240" w:lineRule="auto"/>
        <w:jc w:val="both"/>
        <w:rPr>
          <w:rFonts w:cstheme="minorHAnsi"/>
          <w:lang w:val="en-GB"/>
        </w:rPr>
      </w:pPr>
      <w:r w:rsidRPr="00D477B4">
        <w:rPr>
          <w:rFonts w:cstheme="minorHAnsi"/>
          <w:lang w:val="en-GB"/>
        </w:rPr>
        <w:t>Introduc</w:t>
      </w:r>
      <w:r w:rsidR="007214FA" w:rsidRPr="00D477B4">
        <w:rPr>
          <w:rFonts w:cstheme="minorHAnsi"/>
          <w:lang w:val="en-GB"/>
        </w:rPr>
        <w:t>es a</w:t>
      </w:r>
      <w:r w:rsidRPr="00D477B4">
        <w:rPr>
          <w:rFonts w:cstheme="minorHAnsi"/>
          <w:lang w:val="en-GB"/>
        </w:rPr>
        <w:t xml:space="preserve"> reward and recognition program</w:t>
      </w:r>
      <w:r w:rsidR="007214FA" w:rsidRPr="00D477B4">
        <w:rPr>
          <w:rFonts w:cstheme="minorHAnsi"/>
          <w:lang w:val="en-GB"/>
        </w:rPr>
        <w:t>,</w:t>
      </w:r>
      <w:r w:rsidRPr="00D477B4">
        <w:rPr>
          <w:rFonts w:cstheme="minorHAnsi"/>
          <w:lang w:val="en-GB"/>
        </w:rPr>
        <w:t xml:space="preserve"> insti</w:t>
      </w:r>
      <w:r w:rsidR="007214FA" w:rsidRPr="00D477B4">
        <w:rPr>
          <w:rFonts w:cstheme="minorHAnsi"/>
          <w:lang w:val="en-GB"/>
        </w:rPr>
        <w:t>l</w:t>
      </w:r>
      <w:r w:rsidRPr="00D477B4">
        <w:rPr>
          <w:rFonts w:cstheme="minorHAnsi"/>
          <w:lang w:val="en-GB"/>
        </w:rPr>
        <w:t>l</w:t>
      </w:r>
      <w:r w:rsidR="007214FA" w:rsidRPr="00D477B4">
        <w:rPr>
          <w:rFonts w:cstheme="minorHAnsi"/>
          <w:lang w:val="en-GB"/>
        </w:rPr>
        <w:t>ing</w:t>
      </w:r>
      <w:r w:rsidRPr="00D477B4">
        <w:rPr>
          <w:rFonts w:cstheme="minorHAnsi"/>
          <w:lang w:val="en-GB"/>
        </w:rPr>
        <w:t xml:space="preserve"> and stimulat</w:t>
      </w:r>
      <w:r w:rsidR="007214FA" w:rsidRPr="00D477B4">
        <w:rPr>
          <w:rFonts w:cstheme="minorHAnsi"/>
          <w:lang w:val="en-GB"/>
        </w:rPr>
        <w:t>ing</w:t>
      </w:r>
      <w:r w:rsidRPr="00D477B4">
        <w:rPr>
          <w:rFonts w:cstheme="minorHAnsi"/>
          <w:lang w:val="en-GB"/>
        </w:rPr>
        <w:t xml:space="preserve"> a culture of performance</w:t>
      </w:r>
      <w:r w:rsidR="007214FA" w:rsidRPr="00D477B4">
        <w:rPr>
          <w:rFonts w:cstheme="minorHAnsi"/>
          <w:lang w:val="en-GB"/>
        </w:rPr>
        <w:t xml:space="preserve">, </w:t>
      </w:r>
      <w:r w:rsidR="009174C3" w:rsidRPr="00D477B4">
        <w:rPr>
          <w:rFonts w:cstheme="minorHAnsi"/>
          <w:lang w:val="en-GB"/>
        </w:rPr>
        <w:t>linked to the performance evaluation</w:t>
      </w:r>
    </w:p>
    <w:p w14:paraId="003E5D32" w14:textId="0AA35FFA" w:rsidR="008F25C7" w:rsidRPr="00D477B4" w:rsidRDefault="008F25C7" w:rsidP="00492745">
      <w:pPr>
        <w:pStyle w:val="ListParagraph"/>
        <w:numPr>
          <w:ilvl w:val="0"/>
          <w:numId w:val="30"/>
        </w:numPr>
        <w:spacing w:after="0" w:line="240" w:lineRule="auto"/>
        <w:jc w:val="both"/>
        <w:rPr>
          <w:rFonts w:cstheme="minorHAnsi"/>
          <w:lang w:val="en-GB"/>
        </w:rPr>
      </w:pPr>
      <w:r w:rsidRPr="00D477B4">
        <w:rPr>
          <w:rFonts w:cstheme="minorHAnsi"/>
          <w:lang w:val="en-GB"/>
        </w:rPr>
        <w:t>Is linked to the payroll system</w:t>
      </w:r>
    </w:p>
    <w:p w14:paraId="6CAF75A0" w14:textId="6C715E7F" w:rsidR="00317526" w:rsidRPr="00D477B4" w:rsidRDefault="009174C3" w:rsidP="00317526">
      <w:pPr>
        <w:pStyle w:val="ListParagraph"/>
        <w:numPr>
          <w:ilvl w:val="0"/>
          <w:numId w:val="30"/>
        </w:numPr>
        <w:spacing w:after="0" w:line="240" w:lineRule="auto"/>
        <w:jc w:val="both"/>
        <w:rPr>
          <w:rFonts w:cstheme="minorHAnsi"/>
          <w:lang w:val="en-GB"/>
        </w:rPr>
      </w:pPr>
      <w:r w:rsidRPr="00D477B4">
        <w:rPr>
          <w:rFonts w:cstheme="minorHAnsi"/>
          <w:lang w:val="en-GB"/>
        </w:rPr>
        <w:t>Is b</w:t>
      </w:r>
      <w:r w:rsidR="00317526" w:rsidRPr="00D477B4">
        <w:rPr>
          <w:rFonts w:cstheme="minorHAnsi"/>
          <w:lang w:val="en-GB"/>
        </w:rPr>
        <w:t>enchmark</w:t>
      </w:r>
      <w:r w:rsidRPr="00D477B4">
        <w:rPr>
          <w:rFonts w:cstheme="minorHAnsi"/>
          <w:lang w:val="en-GB"/>
        </w:rPr>
        <w:t>ed</w:t>
      </w:r>
      <w:r w:rsidR="00317526" w:rsidRPr="00D477B4">
        <w:rPr>
          <w:rFonts w:cstheme="minorHAnsi"/>
          <w:lang w:val="en-GB"/>
        </w:rPr>
        <w:t xml:space="preserve"> with a few selected top companies to understand best-practice process options.</w:t>
      </w:r>
    </w:p>
    <w:p w14:paraId="7ADDBFDE" w14:textId="17C1B107" w:rsidR="004B5FF6" w:rsidRDefault="004E15BD" w:rsidP="00F74A2E">
      <w:pPr>
        <w:pStyle w:val="ListParagraph"/>
        <w:numPr>
          <w:ilvl w:val="0"/>
          <w:numId w:val="30"/>
        </w:numPr>
        <w:spacing w:after="0" w:line="240" w:lineRule="auto"/>
        <w:jc w:val="both"/>
        <w:rPr>
          <w:rFonts w:cstheme="minorHAnsi"/>
          <w:lang w:val="en-GB"/>
        </w:rPr>
      </w:pPr>
      <w:r w:rsidRPr="00D477B4">
        <w:rPr>
          <w:rFonts w:cstheme="minorHAnsi"/>
          <w:lang w:val="en-GB"/>
        </w:rPr>
        <w:t xml:space="preserve">Is </w:t>
      </w:r>
      <w:r w:rsidR="00317526" w:rsidRPr="00D477B4">
        <w:rPr>
          <w:rFonts w:cstheme="minorHAnsi"/>
          <w:lang w:val="en-GB"/>
        </w:rPr>
        <w:t>applicab</w:t>
      </w:r>
      <w:r w:rsidRPr="00D477B4">
        <w:rPr>
          <w:rFonts w:cstheme="minorHAnsi"/>
          <w:lang w:val="en-GB"/>
        </w:rPr>
        <w:t>le both</w:t>
      </w:r>
      <w:r w:rsidR="00F74A2E" w:rsidRPr="00D477B4">
        <w:rPr>
          <w:rFonts w:cstheme="minorHAnsi"/>
          <w:lang w:val="en-GB"/>
        </w:rPr>
        <w:t xml:space="preserve"> pre- and post-restructuring of the petroleum sector.</w:t>
      </w:r>
      <w:r w:rsidR="00317526" w:rsidRPr="00D477B4">
        <w:rPr>
          <w:rFonts w:cstheme="minorHAnsi"/>
          <w:lang w:val="en-GB"/>
        </w:rPr>
        <w:t xml:space="preserve"> </w:t>
      </w:r>
    </w:p>
    <w:p w14:paraId="7CB123CB" w14:textId="29331B60" w:rsidR="008B742A" w:rsidRDefault="008B742A" w:rsidP="008B742A">
      <w:pPr>
        <w:spacing w:after="0" w:line="240" w:lineRule="auto"/>
        <w:jc w:val="both"/>
        <w:rPr>
          <w:rFonts w:cstheme="minorHAnsi"/>
          <w:lang w:val="en-GB"/>
        </w:rPr>
      </w:pPr>
    </w:p>
    <w:p w14:paraId="7DF0C05C" w14:textId="7C3BE0EF" w:rsidR="007E0B58" w:rsidRPr="007E0B58" w:rsidRDefault="007E0B58" w:rsidP="007E0B58">
      <w:pPr>
        <w:pStyle w:val="ListParagraph"/>
        <w:numPr>
          <w:ilvl w:val="0"/>
          <w:numId w:val="33"/>
        </w:numPr>
        <w:spacing w:after="0" w:line="240" w:lineRule="auto"/>
        <w:ind w:left="810" w:hanging="270"/>
        <w:jc w:val="both"/>
        <w:rPr>
          <w:rFonts w:cstheme="minorHAnsi"/>
          <w:lang w:val="en-GB"/>
        </w:rPr>
      </w:pPr>
      <w:r w:rsidRPr="007E0B58">
        <w:rPr>
          <w:rFonts w:cstheme="minorHAnsi"/>
          <w:spacing w:val="5"/>
        </w:rPr>
        <w:t>D</w:t>
      </w:r>
      <w:r w:rsidRPr="007E0B58">
        <w:rPr>
          <w:rFonts w:cstheme="minorHAnsi"/>
          <w:spacing w:val="6"/>
        </w:rPr>
        <w:t>e</w:t>
      </w:r>
      <w:r w:rsidRPr="007E0B58">
        <w:rPr>
          <w:rFonts w:cstheme="minorHAnsi"/>
          <w:spacing w:val="4"/>
        </w:rPr>
        <w:t>s</w:t>
      </w:r>
      <w:r w:rsidRPr="007E0B58">
        <w:rPr>
          <w:rFonts w:cstheme="minorHAnsi"/>
          <w:spacing w:val="5"/>
        </w:rPr>
        <w:t>ig</w:t>
      </w:r>
      <w:r w:rsidRPr="007E0B58">
        <w:rPr>
          <w:rFonts w:cstheme="minorHAnsi"/>
        </w:rPr>
        <w:t>n</w:t>
      </w:r>
      <w:r w:rsidRPr="007E0B58">
        <w:rPr>
          <w:rFonts w:cstheme="minorHAnsi"/>
          <w:spacing w:val="48"/>
        </w:rPr>
        <w:t xml:space="preserve"> </w:t>
      </w:r>
      <w:r w:rsidRPr="007E0B58">
        <w:rPr>
          <w:rFonts w:cstheme="minorHAnsi"/>
          <w:spacing w:val="6"/>
        </w:rPr>
        <w:t>t</w:t>
      </w:r>
      <w:r w:rsidRPr="007E0B58">
        <w:rPr>
          <w:rFonts w:cstheme="minorHAnsi"/>
          <w:spacing w:val="4"/>
        </w:rPr>
        <w:t>h</w:t>
      </w:r>
      <w:r w:rsidRPr="007E0B58">
        <w:rPr>
          <w:rFonts w:cstheme="minorHAnsi"/>
        </w:rPr>
        <w:t>e</w:t>
      </w:r>
      <w:r w:rsidRPr="007E0B58">
        <w:rPr>
          <w:rFonts w:cstheme="minorHAnsi"/>
          <w:spacing w:val="57"/>
        </w:rPr>
        <w:t xml:space="preserve"> </w:t>
      </w:r>
      <w:r w:rsidRPr="007E0B58">
        <w:rPr>
          <w:rFonts w:cstheme="minorHAnsi"/>
          <w:spacing w:val="7"/>
        </w:rPr>
        <w:t>b</w:t>
      </w:r>
      <w:r w:rsidRPr="007E0B58">
        <w:rPr>
          <w:rFonts w:cstheme="minorHAnsi"/>
          <w:spacing w:val="6"/>
        </w:rPr>
        <w:t>l</w:t>
      </w:r>
      <w:r w:rsidRPr="007E0B58">
        <w:rPr>
          <w:rFonts w:cstheme="minorHAnsi"/>
          <w:spacing w:val="7"/>
        </w:rPr>
        <w:t>u</w:t>
      </w:r>
      <w:r w:rsidRPr="007E0B58">
        <w:rPr>
          <w:rFonts w:cstheme="minorHAnsi"/>
          <w:spacing w:val="6"/>
        </w:rPr>
        <w:t>e</w:t>
      </w:r>
      <w:r w:rsidRPr="007E0B58">
        <w:rPr>
          <w:rFonts w:cstheme="minorHAnsi"/>
          <w:spacing w:val="7"/>
        </w:rPr>
        <w:t>p</w:t>
      </w:r>
      <w:r w:rsidRPr="007E0B58">
        <w:rPr>
          <w:rFonts w:cstheme="minorHAnsi"/>
          <w:spacing w:val="4"/>
        </w:rPr>
        <w:t>r</w:t>
      </w:r>
      <w:r w:rsidRPr="007E0B58">
        <w:rPr>
          <w:rFonts w:cstheme="minorHAnsi"/>
          <w:spacing w:val="7"/>
        </w:rPr>
        <w:t>i</w:t>
      </w:r>
      <w:r w:rsidRPr="007E0B58">
        <w:rPr>
          <w:rFonts w:cstheme="minorHAnsi"/>
          <w:spacing w:val="6"/>
        </w:rPr>
        <w:t>n</w:t>
      </w:r>
      <w:r w:rsidRPr="007E0B58">
        <w:rPr>
          <w:rFonts w:cstheme="minorHAnsi"/>
        </w:rPr>
        <w:t>t</w:t>
      </w:r>
      <w:r w:rsidRPr="007E0B58">
        <w:rPr>
          <w:rFonts w:cstheme="minorHAnsi"/>
          <w:spacing w:val="5"/>
        </w:rPr>
        <w:t xml:space="preserve"> o</w:t>
      </w:r>
      <w:r w:rsidRPr="007E0B58">
        <w:rPr>
          <w:rFonts w:cstheme="minorHAnsi"/>
        </w:rPr>
        <w:t>f</w:t>
      </w:r>
      <w:r w:rsidRPr="007E0B58">
        <w:rPr>
          <w:rFonts w:cstheme="minorHAnsi"/>
          <w:spacing w:val="23"/>
        </w:rPr>
        <w:t xml:space="preserve"> </w:t>
      </w:r>
      <w:r w:rsidRPr="007E0B58">
        <w:rPr>
          <w:rFonts w:cstheme="minorHAnsi"/>
          <w:spacing w:val="5"/>
        </w:rPr>
        <w:t>t</w:t>
      </w:r>
      <w:r w:rsidRPr="007E0B58">
        <w:rPr>
          <w:rFonts w:cstheme="minorHAnsi"/>
          <w:spacing w:val="4"/>
        </w:rPr>
        <w:t>h</w:t>
      </w:r>
      <w:r w:rsidRPr="007E0B58">
        <w:rPr>
          <w:rFonts w:cstheme="minorHAnsi"/>
        </w:rPr>
        <w:t>e</w:t>
      </w:r>
      <w:r w:rsidRPr="007E0B58">
        <w:rPr>
          <w:rFonts w:cstheme="minorHAnsi"/>
          <w:spacing w:val="57"/>
        </w:rPr>
        <w:t xml:space="preserve"> </w:t>
      </w:r>
      <w:r w:rsidRPr="007E0B58">
        <w:rPr>
          <w:rFonts w:cstheme="minorHAnsi"/>
          <w:spacing w:val="6"/>
        </w:rPr>
        <w:t>L</w:t>
      </w:r>
      <w:r w:rsidRPr="007E0B58">
        <w:rPr>
          <w:rFonts w:cstheme="minorHAnsi"/>
          <w:spacing w:val="5"/>
        </w:rPr>
        <w:t>ea</w:t>
      </w:r>
      <w:r w:rsidRPr="007E0B58">
        <w:rPr>
          <w:rFonts w:cstheme="minorHAnsi"/>
          <w:spacing w:val="4"/>
        </w:rPr>
        <w:t>d</w:t>
      </w:r>
      <w:r w:rsidRPr="007E0B58">
        <w:rPr>
          <w:rFonts w:cstheme="minorHAnsi"/>
          <w:spacing w:val="5"/>
        </w:rPr>
        <w:t>e</w:t>
      </w:r>
      <w:r w:rsidRPr="007E0B58">
        <w:rPr>
          <w:rFonts w:cstheme="minorHAnsi"/>
          <w:spacing w:val="6"/>
        </w:rPr>
        <w:t>r</w:t>
      </w:r>
      <w:r w:rsidRPr="007E0B58">
        <w:rPr>
          <w:rFonts w:cstheme="minorHAnsi"/>
          <w:spacing w:val="4"/>
        </w:rPr>
        <w:t>s</w:t>
      </w:r>
      <w:r w:rsidRPr="007E0B58">
        <w:rPr>
          <w:rFonts w:cstheme="minorHAnsi"/>
          <w:spacing w:val="6"/>
        </w:rPr>
        <w:t>h</w:t>
      </w:r>
      <w:r w:rsidRPr="007E0B58">
        <w:rPr>
          <w:rFonts w:cstheme="minorHAnsi"/>
          <w:spacing w:val="5"/>
        </w:rPr>
        <w:t>i</w:t>
      </w:r>
      <w:r w:rsidRPr="007E0B58">
        <w:rPr>
          <w:rFonts w:cstheme="minorHAnsi"/>
        </w:rPr>
        <w:t>p</w:t>
      </w:r>
      <w:r w:rsidRPr="007E0B58">
        <w:rPr>
          <w:rFonts w:cstheme="minorHAnsi"/>
          <w:spacing w:val="19"/>
        </w:rPr>
        <w:t xml:space="preserve"> </w:t>
      </w:r>
      <w:r w:rsidRPr="007E0B58">
        <w:rPr>
          <w:rFonts w:cstheme="minorHAnsi"/>
          <w:spacing w:val="4"/>
        </w:rPr>
        <w:t>T</w:t>
      </w:r>
      <w:r w:rsidRPr="007E0B58">
        <w:rPr>
          <w:rFonts w:cstheme="minorHAnsi"/>
          <w:spacing w:val="5"/>
        </w:rPr>
        <w:t>alen</w:t>
      </w:r>
      <w:r w:rsidRPr="007E0B58">
        <w:rPr>
          <w:rFonts w:cstheme="minorHAnsi"/>
        </w:rPr>
        <w:t xml:space="preserve">t </w:t>
      </w:r>
      <w:r w:rsidRPr="007E0B58">
        <w:rPr>
          <w:rFonts w:cstheme="minorHAnsi"/>
          <w:spacing w:val="21"/>
        </w:rPr>
        <w:t>Management</w:t>
      </w:r>
      <w:r w:rsidRPr="007E0B58">
        <w:rPr>
          <w:rFonts w:cstheme="minorHAnsi"/>
          <w:spacing w:val="12"/>
        </w:rPr>
        <w:t xml:space="preserve"> </w:t>
      </w:r>
      <w:r w:rsidRPr="007E0B58">
        <w:rPr>
          <w:rFonts w:cstheme="minorHAnsi"/>
          <w:spacing w:val="4"/>
        </w:rPr>
        <w:t>C</w:t>
      </w:r>
      <w:r w:rsidRPr="007E0B58">
        <w:rPr>
          <w:rFonts w:cstheme="minorHAnsi"/>
          <w:spacing w:val="5"/>
        </w:rPr>
        <w:t>en</w:t>
      </w:r>
      <w:r w:rsidRPr="007E0B58">
        <w:rPr>
          <w:rFonts w:cstheme="minorHAnsi"/>
          <w:spacing w:val="6"/>
        </w:rPr>
        <w:t>t</w:t>
      </w:r>
      <w:r w:rsidRPr="007E0B58">
        <w:rPr>
          <w:rFonts w:cstheme="minorHAnsi"/>
          <w:spacing w:val="4"/>
        </w:rPr>
        <w:t>r</w:t>
      </w:r>
      <w:r w:rsidRPr="007E0B58">
        <w:rPr>
          <w:rFonts w:cstheme="minorHAnsi"/>
        </w:rPr>
        <w:t xml:space="preserve">e </w:t>
      </w:r>
      <w:r w:rsidRPr="007E0B58">
        <w:rPr>
          <w:rFonts w:cstheme="minorHAnsi"/>
          <w:spacing w:val="22"/>
        </w:rPr>
        <w:t>of</w:t>
      </w:r>
      <w:r w:rsidRPr="007E0B58">
        <w:rPr>
          <w:rFonts w:cstheme="minorHAnsi"/>
          <w:spacing w:val="24"/>
        </w:rPr>
        <w:t xml:space="preserve"> </w:t>
      </w:r>
      <w:r w:rsidRPr="007E0B58">
        <w:rPr>
          <w:rFonts w:cstheme="minorHAnsi"/>
          <w:spacing w:val="4"/>
        </w:rPr>
        <w:t>E</w:t>
      </w:r>
      <w:r w:rsidRPr="007E0B58">
        <w:rPr>
          <w:rFonts w:cstheme="minorHAnsi"/>
          <w:spacing w:val="5"/>
        </w:rPr>
        <w:t>xce</w:t>
      </w:r>
      <w:r w:rsidRPr="007E0B58">
        <w:rPr>
          <w:rFonts w:cstheme="minorHAnsi"/>
          <w:spacing w:val="6"/>
        </w:rPr>
        <w:t>l</w:t>
      </w:r>
      <w:r w:rsidRPr="007E0B58">
        <w:rPr>
          <w:rFonts w:cstheme="minorHAnsi"/>
          <w:spacing w:val="5"/>
        </w:rPr>
        <w:t>lenc</w:t>
      </w:r>
      <w:r w:rsidRPr="007E0B58">
        <w:rPr>
          <w:rFonts w:cstheme="minorHAnsi"/>
        </w:rPr>
        <w:t>e</w:t>
      </w:r>
    </w:p>
    <w:p w14:paraId="1F81E3F5" w14:textId="27297EC3" w:rsidR="008B742A" w:rsidRPr="007E0B58" w:rsidRDefault="008B742A" w:rsidP="007E0B58">
      <w:pPr>
        <w:spacing w:after="0" w:line="240" w:lineRule="auto"/>
        <w:ind w:left="540"/>
        <w:jc w:val="both"/>
        <w:rPr>
          <w:rFonts w:cstheme="minorHAnsi"/>
          <w:lang w:val="en-GB"/>
        </w:rPr>
      </w:pPr>
    </w:p>
    <w:p w14:paraId="2D1F3709" w14:textId="07A77816" w:rsidR="00E74516" w:rsidRPr="00E74516" w:rsidRDefault="00E74516" w:rsidP="00E74516">
      <w:pPr>
        <w:pStyle w:val="ListParagraph"/>
        <w:numPr>
          <w:ilvl w:val="0"/>
          <w:numId w:val="42"/>
        </w:numPr>
        <w:spacing w:after="0" w:line="240" w:lineRule="auto"/>
        <w:jc w:val="both"/>
        <w:rPr>
          <w:rFonts w:cstheme="minorHAnsi"/>
          <w:lang w:val="en-GB"/>
        </w:rPr>
      </w:pPr>
      <w:r w:rsidRPr="00E74516">
        <w:rPr>
          <w:rFonts w:cstheme="minorHAnsi"/>
          <w:lang w:val="en-GB"/>
        </w:rPr>
        <w:t>Develop proposed role</w:t>
      </w:r>
      <w:r w:rsidR="004E7C60">
        <w:rPr>
          <w:rFonts w:cstheme="minorHAnsi"/>
          <w:lang w:val="en-GB"/>
        </w:rPr>
        <w:t>,</w:t>
      </w:r>
      <w:r w:rsidRPr="00E74516">
        <w:rPr>
          <w:rFonts w:cstheme="minorHAnsi"/>
          <w:lang w:val="en-GB"/>
        </w:rPr>
        <w:t xml:space="preserve"> mandate</w:t>
      </w:r>
      <w:r w:rsidR="004E7C60">
        <w:rPr>
          <w:rFonts w:cstheme="minorHAnsi"/>
          <w:lang w:val="en-GB"/>
        </w:rPr>
        <w:t>,</w:t>
      </w:r>
      <w:r w:rsidRPr="00E74516">
        <w:rPr>
          <w:rFonts w:cstheme="minorHAnsi"/>
          <w:lang w:val="en-GB"/>
        </w:rPr>
        <w:t xml:space="preserve"> objectives and core activities</w:t>
      </w:r>
      <w:r w:rsidR="004E7C60" w:rsidRPr="00E74516">
        <w:rPr>
          <w:rFonts w:cstheme="minorHAnsi"/>
          <w:lang w:val="en-GB"/>
        </w:rPr>
        <w:t xml:space="preserve"> of CoE</w:t>
      </w:r>
      <w:r w:rsidRPr="00E74516">
        <w:rPr>
          <w:rFonts w:cstheme="minorHAnsi"/>
          <w:lang w:val="en-GB"/>
        </w:rPr>
        <w:t>.</w:t>
      </w:r>
    </w:p>
    <w:p w14:paraId="218F0CD8" w14:textId="76420F44" w:rsidR="00E74516" w:rsidRPr="00E74516" w:rsidRDefault="00E74516" w:rsidP="00E74516">
      <w:pPr>
        <w:pStyle w:val="ListParagraph"/>
        <w:numPr>
          <w:ilvl w:val="0"/>
          <w:numId w:val="42"/>
        </w:numPr>
        <w:spacing w:after="0" w:line="240" w:lineRule="auto"/>
        <w:jc w:val="both"/>
        <w:rPr>
          <w:rFonts w:cstheme="minorHAnsi"/>
          <w:lang w:val="en-GB"/>
        </w:rPr>
      </w:pPr>
      <w:r w:rsidRPr="00E74516">
        <w:rPr>
          <w:rFonts w:cstheme="minorHAnsi"/>
          <w:lang w:val="en-GB"/>
        </w:rPr>
        <w:t xml:space="preserve">Develop proposed governance </w:t>
      </w:r>
      <w:r w:rsidR="004F5FF4">
        <w:rPr>
          <w:rFonts w:cstheme="minorHAnsi"/>
          <w:lang w:val="en-GB"/>
        </w:rPr>
        <w:t xml:space="preserve">structure </w:t>
      </w:r>
      <w:r w:rsidRPr="00E74516">
        <w:rPr>
          <w:rFonts w:cstheme="minorHAnsi"/>
          <w:lang w:val="en-GB"/>
        </w:rPr>
        <w:t>and organization of the CoE</w:t>
      </w:r>
      <w:r w:rsidR="005D510E">
        <w:rPr>
          <w:rFonts w:cstheme="minorHAnsi"/>
          <w:lang w:val="en-GB"/>
        </w:rPr>
        <w:t>.</w:t>
      </w:r>
    </w:p>
    <w:p w14:paraId="07EC7345" w14:textId="1F994EE9" w:rsidR="00E74516" w:rsidRPr="00E74516" w:rsidRDefault="00E74516" w:rsidP="00E74516">
      <w:pPr>
        <w:pStyle w:val="ListParagraph"/>
        <w:numPr>
          <w:ilvl w:val="1"/>
          <w:numId w:val="42"/>
        </w:numPr>
        <w:spacing w:after="0" w:line="240" w:lineRule="auto"/>
        <w:jc w:val="both"/>
        <w:rPr>
          <w:rFonts w:cstheme="minorHAnsi"/>
          <w:lang w:val="en-GB"/>
        </w:rPr>
      </w:pPr>
      <w:r w:rsidRPr="00E74516">
        <w:rPr>
          <w:rFonts w:cstheme="minorHAnsi"/>
          <w:lang w:val="en-GB"/>
        </w:rPr>
        <w:t>Identify CoE governance bodies (e.g. Leadership/Operational Committee) that will be established by MOP.</w:t>
      </w:r>
    </w:p>
    <w:p w14:paraId="150EC568" w14:textId="3C6A1F13" w:rsidR="00E74516" w:rsidRPr="00E74516" w:rsidRDefault="00E74516" w:rsidP="00E74516">
      <w:pPr>
        <w:pStyle w:val="ListParagraph"/>
        <w:numPr>
          <w:ilvl w:val="1"/>
          <w:numId w:val="42"/>
        </w:numPr>
        <w:spacing w:after="0" w:line="240" w:lineRule="auto"/>
        <w:jc w:val="both"/>
        <w:rPr>
          <w:rFonts w:cstheme="minorHAnsi"/>
          <w:lang w:val="en-GB"/>
        </w:rPr>
      </w:pPr>
      <w:r w:rsidRPr="00E74516">
        <w:rPr>
          <w:rFonts w:cstheme="minorHAnsi"/>
          <w:lang w:val="en-GB"/>
        </w:rPr>
        <w:t>Define organizational positioning of the CoE (e.g. reporting line to the Ministry)</w:t>
      </w:r>
    </w:p>
    <w:p w14:paraId="1450AFBA" w14:textId="590C4E8F" w:rsidR="00E74516" w:rsidRPr="00E74516" w:rsidRDefault="00E74516" w:rsidP="00E74516">
      <w:pPr>
        <w:pStyle w:val="ListParagraph"/>
        <w:numPr>
          <w:ilvl w:val="1"/>
          <w:numId w:val="42"/>
        </w:numPr>
        <w:spacing w:after="0" w:line="240" w:lineRule="auto"/>
        <w:jc w:val="both"/>
        <w:rPr>
          <w:rFonts w:cstheme="minorHAnsi"/>
          <w:lang w:val="en-GB"/>
        </w:rPr>
      </w:pPr>
      <w:r w:rsidRPr="00E74516">
        <w:rPr>
          <w:rFonts w:cstheme="minorHAnsi"/>
          <w:lang w:val="en-GB"/>
        </w:rPr>
        <w:t xml:space="preserve">Design organizational chart of the CoE and the required positions with the job descriptions   </w:t>
      </w:r>
    </w:p>
    <w:p w14:paraId="28ADF217" w14:textId="4338EA67" w:rsidR="008B742A" w:rsidRPr="00E74516" w:rsidRDefault="00E74516" w:rsidP="00E74516">
      <w:pPr>
        <w:pStyle w:val="ListParagraph"/>
        <w:numPr>
          <w:ilvl w:val="0"/>
          <w:numId w:val="42"/>
        </w:numPr>
        <w:spacing w:after="0" w:line="240" w:lineRule="auto"/>
        <w:jc w:val="both"/>
        <w:rPr>
          <w:rFonts w:cstheme="minorHAnsi"/>
          <w:lang w:val="en-GB"/>
        </w:rPr>
      </w:pPr>
      <w:r w:rsidRPr="00E74516">
        <w:rPr>
          <w:rFonts w:cstheme="minorHAnsi"/>
          <w:lang w:val="en-GB"/>
        </w:rPr>
        <w:t xml:space="preserve">Develop an implementation roadmap/plan to activate the CoE </w:t>
      </w:r>
      <w:r w:rsidR="001D6D05">
        <w:rPr>
          <w:rFonts w:cstheme="minorHAnsi"/>
          <w:lang w:val="en-GB"/>
        </w:rPr>
        <w:t xml:space="preserve">processes for </w:t>
      </w:r>
      <w:r w:rsidRPr="00E74516">
        <w:rPr>
          <w:rFonts w:cstheme="minorHAnsi"/>
          <w:lang w:val="en-GB"/>
        </w:rPr>
        <w:t>Competency Assessment/Succession Planning, Career Development and Performance Management</w:t>
      </w:r>
      <w:r w:rsidR="001D6D05">
        <w:rPr>
          <w:rFonts w:cstheme="minorHAnsi"/>
          <w:lang w:val="en-GB"/>
        </w:rPr>
        <w:t xml:space="preserve">, </w:t>
      </w:r>
      <w:r w:rsidRPr="00E74516">
        <w:rPr>
          <w:rFonts w:cstheme="minorHAnsi"/>
          <w:lang w:val="en-GB"/>
        </w:rPr>
        <w:t>including activities, milestones, deliverables, owners to achieve the full operationalization of the CoE</w:t>
      </w:r>
    </w:p>
    <w:p w14:paraId="7F0577E8" w14:textId="1DF5E7D4" w:rsidR="004F518E" w:rsidRDefault="004F518E" w:rsidP="00CC2D6A">
      <w:pPr>
        <w:spacing w:after="0" w:line="240" w:lineRule="auto"/>
        <w:jc w:val="both"/>
        <w:rPr>
          <w:rFonts w:cstheme="minorHAnsi"/>
        </w:rPr>
      </w:pPr>
    </w:p>
    <w:p w14:paraId="2CE72651" w14:textId="77777777" w:rsidR="00225861" w:rsidRPr="00F61AA4" w:rsidRDefault="00225861" w:rsidP="00F61AA4">
      <w:pPr>
        <w:pStyle w:val="ListParagraph"/>
        <w:numPr>
          <w:ilvl w:val="0"/>
          <w:numId w:val="39"/>
        </w:numPr>
        <w:spacing w:after="160" w:line="259" w:lineRule="auto"/>
        <w:rPr>
          <w:u w:val="single"/>
        </w:rPr>
      </w:pPr>
      <w:r w:rsidRPr="00F61AA4">
        <w:rPr>
          <w:u w:val="single"/>
        </w:rPr>
        <w:lastRenderedPageBreak/>
        <w:t>Implementation structure and deliverables</w:t>
      </w:r>
    </w:p>
    <w:p w14:paraId="3AB5C126" w14:textId="72394E1E" w:rsidR="00225861" w:rsidRPr="008E2262" w:rsidRDefault="00225861" w:rsidP="00225861">
      <w:r>
        <w:t>The Ministry of Petroleum wants to maintain strong ownership over the restructuring process. The Consultant will take a participatory approach, involving the Ministry of Petroleum. In the day-to-day work, the Consultant will liaise with Focal Points at the Ministry of Petroleum. The Consultant Team will work in Egypt for the duration of the assignment. The Ministry of Petroleum will make office space available to the consultant if necessary. The Consultancy Firm is expected to use its own computers and other equipment required for the task.</w:t>
      </w:r>
    </w:p>
    <w:p w14:paraId="69BFB2D5" w14:textId="77777777" w:rsidR="00225861" w:rsidRDefault="00225861" w:rsidP="00225861">
      <w:pPr>
        <w:spacing w:after="0" w:line="240" w:lineRule="auto"/>
        <w:jc w:val="both"/>
        <w:rPr>
          <w:rFonts w:cstheme="minorHAnsi"/>
        </w:rPr>
      </w:pPr>
      <w:r w:rsidRPr="00983F49">
        <w:rPr>
          <w:rFonts w:cstheme="minorHAnsi"/>
        </w:rPr>
        <w:t>Th</w:t>
      </w:r>
      <w:r>
        <w:rPr>
          <w:rFonts w:cstheme="minorHAnsi"/>
        </w:rPr>
        <w:t xml:space="preserve">e key deliverables will be spread over 4 </w:t>
      </w:r>
      <w:r w:rsidRPr="00983F49">
        <w:rPr>
          <w:rFonts w:cstheme="minorHAnsi"/>
        </w:rPr>
        <w:t xml:space="preserve">months from the </w:t>
      </w:r>
      <w:r>
        <w:rPr>
          <w:rFonts w:cstheme="minorHAnsi"/>
        </w:rPr>
        <w:t>signing of the contract with the following scheme.</w:t>
      </w:r>
    </w:p>
    <w:p w14:paraId="7A3C8206" w14:textId="77777777" w:rsidR="00225861" w:rsidRPr="007B291E" w:rsidRDefault="00225861" w:rsidP="00225861">
      <w:pPr>
        <w:spacing w:after="0" w:line="240" w:lineRule="auto"/>
        <w:jc w:val="both"/>
        <w:rPr>
          <w:rFonts w:cstheme="minorHAnsi"/>
        </w:rPr>
      </w:pPr>
    </w:p>
    <w:tbl>
      <w:tblPr>
        <w:tblStyle w:val="TableGrid"/>
        <w:tblW w:w="5003" w:type="pct"/>
        <w:tblLayout w:type="fixed"/>
        <w:tblLook w:val="04A0" w:firstRow="1" w:lastRow="0" w:firstColumn="1" w:lastColumn="0" w:noHBand="0" w:noVBand="1"/>
      </w:tblPr>
      <w:tblGrid>
        <w:gridCol w:w="4399"/>
        <w:gridCol w:w="1536"/>
        <w:gridCol w:w="3421"/>
      </w:tblGrid>
      <w:tr w:rsidR="00225861" w:rsidRPr="000D3129" w14:paraId="6D6716CB" w14:textId="77777777" w:rsidTr="000E7B63">
        <w:tc>
          <w:tcPr>
            <w:tcW w:w="2351" w:type="pct"/>
            <w:vAlign w:val="center"/>
          </w:tcPr>
          <w:p w14:paraId="7E55088D" w14:textId="77777777" w:rsidR="00225861" w:rsidRPr="000D3129" w:rsidRDefault="00225861" w:rsidP="000E7B63">
            <w:pPr>
              <w:pStyle w:val="NormalWeb"/>
              <w:spacing w:after="160"/>
              <w:jc w:val="center"/>
              <w:rPr>
                <w:rFonts w:asciiTheme="minorHAnsi" w:hAnsiTheme="minorHAnsi" w:cstheme="minorHAnsi"/>
                <w:b/>
                <w:color w:val="000000" w:themeColor="text1"/>
                <w:sz w:val="22"/>
                <w:szCs w:val="22"/>
              </w:rPr>
            </w:pPr>
            <w:r w:rsidRPr="000D3129">
              <w:rPr>
                <w:rFonts w:asciiTheme="minorHAnsi" w:hAnsiTheme="minorHAnsi" w:cstheme="minorHAnsi"/>
                <w:b/>
                <w:color w:val="000000" w:themeColor="text1"/>
                <w:sz w:val="22"/>
                <w:szCs w:val="22"/>
              </w:rPr>
              <w:t>Deliverable</w:t>
            </w:r>
          </w:p>
        </w:tc>
        <w:tc>
          <w:tcPr>
            <w:tcW w:w="821" w:type="pct"/>
            <w:vAlign w:val="center"/>
          </w:tcPr>
          <w:p w14:paraId="1F360A7A" w14:textId="77777777" w:rsidR="00225861" w:rsidRPr="000D3129" w:rsidRDefault="00225861" w:rsidP="000E7B63">
            <w:pPr>
              <w:pStyle w:val="NormalWeb"/>
              <w:spacing w:after="160"/>
              <w:jc w:val="center"/>
              <w:rPr>
                <w:rFonts w:asciiTheme="minorHAnsi" w:hAnsiTheme="minorHAnsi" w:cstheme="minorHAnsi"/>
                <w:b/>
                <w:color w:val="000000" w:themeColor="text1"/>
                <w:sz w:val="22"/>
                <w:szCs w:val="22"/>
              </w:rPr>
            </w:pPr>
            <w:r w:rsidRPr="000D3129">
              <w:rPr>
                <w:rFonts w:asciiTheme="minorHAnsi" w:hAnsiTheme="minorHAnsi" w:cstheme="minorHAnsi"/>
                <w:b/>
                <w:color w:val="000000" w:themeColor="text1"/>
                <w:sz w:val="22"/>
                <w:szCs w:val="22"/>
              </w:rPr>
              <w:t>Payment</w:t>
            </w:r>
          </w:p>
        </w:tc>
        <w:tc>
          <w:tcPr>
            <w:tcW w:w="1828" w:type="pct"/>
            <w:vAlign w:val="center"/>
          </w:tcPr>
          <w:p w14:paraId="773CAA88" w14:textId="77777777" w:rsidR="00225861" w:rsidRPr="000D3129" w:rsidRDefault="00225861" w:rsidP="000E7B63">
            <w:pPr>
              <w:pStyle w:val="NormalWeb"/>
              <w:spacing w:after="160"/>
              <w:jc w:val="center"/>
              <w:rPr>
                <w:rFonts w:asciiTheme="minorHAnsi" w:hAnsiTheme="minorHAnsi" w:cstheme="minorHAnsi"/>
                <w:b/>
                <w:color w:val="000000" w:themeColor="text1"/>
                <w:sz w:val="22"/>
                <w:szCs w:val="22"/>
              </w:rPr>
            </w:pPr>
            <w:r w:rsidRPr="000D3129">
              <w:rPr>
                <w:rFonts w:asciiTheme="minorHAnsi" w:hAnsiTheme="minorHAnsi" w:cstheme="minorHAnsi"/>
                <w:b/>
                <w:color w:val="000000" w:themeColor="text1"/>
                <w:sz w:val="22"/>
                <w:szCs w:val="22"/>
              </w:rPr>
              <w:t>Date</w:t>
            </w:r>
          </w:p>
        </w:tc>
      </w:tr>
      <w:tr w:rsidR="00225861" w:rsidRPr="000D3129" w14:paraId="5332B2D9" w14:textId="77777777" w:rsidTr="000E7B63">
        <w:trPr>
          <w:trHeight w:val="557"/>
        </w:trPr>
        <w:tc>
          <w:tcPr>
            <w:tcW w:w="2351" w:type="pct"/>
            <w:vAlign w:val="center"/>
          </w:tcPr>
          <w:p w14:paraId="26E25F76" w14:textId="77777777" w:rsidR="00225861" w:rsidRPr="000D3129" w:rsidRDefault="00225861" w:rsidP="00225861">
            <w:pPr>
              <w:pStyle w:val="NormalWeb"/>
              <w:numPr>
                <w:ilvl w:val="0"/>
                <w:numId w:val="6"/>
              </w:numPr>
              <w:spacing w:before="0" w:beforeAutospacing="0" w:after="160" w:afterAutospacing="0"/>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Inception Report</w:t>
            </w:r>
          </w:p>
        </w:tc>
        <w:tc>
          <w:tcPr>
            <w:tcW w:w="821" w:type="pct"/>
            <w:vAlign w:val="center"/>
          </w:tcPr>
          <w:p w14:paraId="5574F321" w14:textId="77777777" w:rsidR="00225861" w:rsidRPr="000D3129" w:rsidRDefault="00225861" w:rsidP="000E7B63">
            <w:pPr>
              <w:pStyle w:val="NormalWeb"/>
              <w:spacing w:after="160"/>
              <w:jc w:val="center"/>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20%</w:t>
            </w:r>
          </w:p>
        </w:tc>
        <w:tc>
          <w:tcPr>
            <w:tcW w:w="1828" w:type="pct"/>
            <w:vAlign w:val="center"/>
          </w:tcPr>
          <w:p w14:paraId="02A01AD9" w14:textId="77777777" w:rsidR="00225861" w:rsidRPr="000D3129" w:rsidRDefault="00225861" w:rsidP="000E7B63">
            <w:pPr>
              <w:pStyle w:val="NormalWeb"/>
              <w:spacing w:after="160"/>
              <w:jc w:val="center"/>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One week from signing contract</w:t>
            </w:r>
          </w:p>
        </w:tc>
      </w:tr>
      <w:tr w:rsidR="00225861" w:rsidRPr="000D3129" w14:paraId="7AA806B1" w14:textId="77777777" w:rsidTr="000E7B63">
        <w:trPr>
          <w:trHeight w:val="557"/>
        </w:trPr>
        <w:tc>
          <w:tcPr>
            <w:tcW w:w="2351" w:type="pct"/>
            <w:vAlign w:val="center"/>
          </w:tcPr>
          <w:p w14:paraId="5B041BA1" w14:textId="77777777" w:rsidR="00225861" w:rsidRPr="000D3129" w:rsidRDefault="00225861" w:rsidP="00225861">
            <w:pPr>
              <w:pStyle w:val="NormalWeb"/>
              <w:numPr>
                <w:ilvl w:val="0"/>
                <w:numId w:val="6"/>
              </w:numPr>
              <w:spacing w:before="0" w:beforeAutospacing="0" w:after="160" w:afterAutospacing="0"/>
              <w:rPr>
                <w:rFonts w:asciiTheme="minorHAnsi" w:hAnsiTheme="minorHAnsi" w:cstheme="minorHAnsi"/>
                <w:color w:val="000000" w:themeColor="text1"/>
                <w:sz w:val="22"/>
                <w:szCs w:val="22"/>
              </w:rPr>
            </w:pPr>
            <w:r w:rsidRPr="000D3129">
              <w:rPr>
                <w:rFonts w:asciiTheme="minorHAnsi" w:hAnsiTheme="minorHAnsi" w:cstheme="minorHAnsi"/>
                <w:sz w:val="22"/>
                <w:szCs w:val="22"/>
                <w:lang w:val="en-GB"/>
              </w:rPr>
              <w:t>Draft Report and workshop</w:t>
            </w:r>
          </w:p>
        </w:tc>
        <w:tc>
          <w:tcPr>
            <w:tcW w:w="821" w:type="pct"/>
            <w:vAlign w:val="center"/>
          </w:tcPr>
          <w:p w14:paraId="47A4D671" w14:textId="77777777" w:rsidR="00225861" w:rsidRPr="000D3129" w:rsidRDefault="00225861" w:rsidP="000E7B63">
            <w:pPr>
              <w:pStyle w:val="NormalWeb"/>
              <w:spacing w:after="160"/>
              <w:jc w:val="center"/>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50%</w:t>
            </w:r>
          </w:p>
        </w:tc>
        <w:tc>
          <w:tcPr>
            <w:tcW w:w="1828" w:type="pct"/>
            <w:vAlign w:val="center"/>
          </w:tcPr>
          <w:p w14:paraId="19C3768F" w14:textId="77777777" w:rsidR="00225861" w:rsidRPr="000D3129" w:rsidRDefault="00225861" w:rsidP="000E7B63">
            <w:pPr>
              <w:pStyle w:val="NormalWeb"/>
              <w:spacing w:after="160"/>
              <w:jc w:val="center"/>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12 weeks from inception report</w:t>
            </w:r>
          </w:p>
        </w:tc>
      </w:tr>
      <w:tr w:rsidR="00225861" w:rsidRPr="000D3129" w14:paraId="2898B65F" w14:textId="77777777" w:rsidTr="000E7B63">
        <w:trPr>
          <w:trHeight w:val="557"/>
        </w:trPr>
        <w:tc>
          <w:tcPr>
            <w:tcW w:w="2351" w:type="pct"/>
            <w:vAlign w:val="center"/>
          </w:tcPr>
          <w:p w14:paraId="1B159DBA" w14:textId="77777777" w:rsidR="00225861" w:rsidRPr="000D3129" w:rsidRDefault="00225861" w:rsidP="00225861">
            <w:pPr>
              <w:pStyle w:val="ListParagraph"/>
              <w:numPr>
                <w:ilvl w:val="0"/>
                <w:numId w:val="6"/>
              </w:numPr>
              <w:jc w:val="both"/>
              <w:rPr>
                <w:rFonts w:cstheme="minorHAnsi"/>
                <w:lang w:val="en-GB"/>
              </w:rPr>
            </w:pPr>
            <w:r w:rsidRPr="000D3129">
              <w:rPr>
                <w:rFonts w:cstheme="minorHAnsi"/>
                <w:lang w:val="en-GB"/>
              </w:rPr>
              <w:t>Final Report</w:t>
            </w:r>
          </w:p>
        </w:tc>
        <w:tc>
          <w:tcPr>
            <w:tcW w:w="821" w:type="pct"/>
            <w:vAlign w:val="center"/>
          </w:tcPr>
          <w:p w14:paraId="2750B1ED" w14:textId="77777777" w:rsidR="00225861" w:rsidRPr="000D3129" w:rsidRDefault="00225861" w:rsidP="000E7B63">
            <w:pPr>
              <w:pStyle w:val="NormalWeb"/>
              <w:spacing w:after="160"/>
              <w:jc w:val="center"/>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30%</w:t>
            </w:r>
          </w:p>
        </w:tc>
        <w:tc>
          <w:tcPr>
            <w:tcW w:w="1828" w:type="pct"/>
            <w:vAlign w:val="center"/>
          </w:tcPr>
          <w:p w14:paraId="5DC6A444" w14:textId="77777777" w:rsidR="00225861" w:rsidRPr="000D3129" w:rsidRDefault="00225861" w:rsidP="000E7B63">
            <w:pPr>
              <w:pStyle w:val="NormalWeb"/>
              <w:spacing w:after="160"/>
              <w:jc w:val="center"/>
              <w:rPr>
                <w:rFonts w:asciiTheme="minorHAnsi" w:hAnsiTheme="minorHAnsi" w:cstheme="minorHAnsi"/>
                <w:color w:val="000000" w:themeColor="text1"/>
                <w:sz w:val="22"/>
                <w:szCs w:val="22"/>
              </w:rPr>
            </w:pPr>
            <w:r w:rsidRPr="000D3129">
              <w:rPr>
                <w:rFonts w:asciiTheme="minorHAnsi" w:hAnsiTheme="minorHAnsi" w:cstheme="minorHAnsi"/>
                <w:color w:val="000000" w:themeColor="text1"/>
                <w:sz w:val="22"/>
                <w:szCs w:val="22"/>
              </w:rPr>
              <w:t>16 weeks from inception report</w:t>
            </w:r>
          </w:p>
        </w:tc>
      </w:tr>
    </w:tbl>
    <w:p w14:paraId="0599230C" w14:textId="77777777" w:rsidR="00225861" w:rsidRPr="007B291E" w:rsidRDefault="00225861" w:rsidP="00225861">
      <w:pPr>
        <w:spacing w:after="0" w:line="240" w:lineRule="auto"/>
        <w:jc w:val="both"/>
        <w:rPr>
          <w:rFonts w:cstheme="minorHAnsi"/>
        </w:rPr>
      </w:pPr>
    </w:p>
    <w:p w14:paraId="5EE2303D" w14:textId="77777777" w:rsidR="00225861" w:rsidRDefault="00225861" w:rsidP="00225861">
      <w:r>
        <w:t xml:space="preserve">For contractual matters, the consultant firm will report to Alexander Huurdeman, TTL of Modernization Project and Senior Gas Specialist. </w:t>
      </w:r>
    </w:p>
    <w:p w14:paraId="72F7135A" w14:textId="2F9A6D08" w:rsidR="00CC47B4" w:rsidRPr="00D477B4" w:rsidRDefault="00CC47B4" w:rsidP="004B1BBA">
      <w:pPr>
        <w:pStyle w:val="ListParagraph"/>
        <w:numPr>
          <w:ilvl w:val="0"/>
          <w:numId w:val="39"/>
        </w:numPr>
        <w:spacing w:after="0" w:line="240" w:lineRule="auto"/>
        <w:jc w:val="both"/>
        <w:rPr>
          <w:rFonts w:cstheme="minorHAnsi"/>
          <w:u w:val="single"/>
          <w:lang w:val="en-GB"/>
        </w:rPr>
      </w:pPr>
      <w:r w:rsidRPr="00D477B4">
        <w:rPr>
          <w:rFonts w:cstheme="minorHAnsi"/>
          <w:u w:val="single"/>
          <w:lang w:val="en-GB"/>
        </w:rPr>
        <w:t>Qualifications</w:t>
      </w:r>
    </w:p>
    <w:p w14:paraId="54B57454" w14:textId="639341D5" w:rsidR="004B1BBA" w:rsidRDefault="004B1BBA" w:rsidP="00840664">
      <w:pPr>
        <w:spacing w:after="0" w:line="240" w:lineRule="auto"/>
        <w:jc w:val="both"/>
        <w:rPr>
          <w:rFonts w:cstheme="minorHAnsi"/>
          <w:lang w:val="en-GB"/>
        </w:rPr>
      </w:pPr>
    </w:p>
    <w:p w14:paraId="34392373" w14:textId="77777777" w:rsidR="00E46438" w:rsidRDefault="002B7C3D" w:rsidP="00D34B3C">
      <w:pPr>
        <w:rPr>
          <w:rFonts w:cstheme="minorHAnsi"/>
          <w:bCs/>
        </w:rPr>
      </w:pPr>
      <w:r w:rsidRPr="00D176C0">
        <w:rPr>
          <w:rFonts w:cstheme="minorHAnsi"/>
          <w:bCs/>
        </w:rPr>
        <w:t xml:space="preserve">The World Bank is seeking a consultancy firm to conduct the assignment. </w:t>
      </w:r>
    </w:p>
    <w:p w14:paraId="1227666F" w14:textId="6290A015" w:rsidR="002B7C3D" w:rsidRPr="00D176C0" w:rsidRDefault="002B7C3D" w:rsidP="00E46438">
      <w:pPr>
        <w:rPr>
          <w:rFonts w:cstheme="minorHAnsi"/>
        </w:rPr>
      </w:pPr>
      <w:r w:rsidRPr="00D176C0">
        <w:rPr>
          <w:rFonts w:cstheme="minorHAnsi"/>
          <w:bCs/>
        </w:rPr>
        <w:t xml:space="preserve">The </w:t>
      </w:r>
      <w:r w:rsidRPr="00D176C0">
        <w:rPr>
          <w:rFonts w:cstheme="minorHAnsi"/>
        </w:rPr>
        <w:t xml:space="preserve">collective ability of the </w:t>
      </w:r>
      <w:r w:rsidR="00D34B3C">
        <w:rPr>
          <w:rFonts w:cstheme="minorHAnsi"/>
        </w:rPr>
        <w:t xml:space="preserve">proposed </w:t>
      </w:r>
      <w:r w:rsidRPr="00D176C0">
        <w:rPr>
          <w:rFonts w:cstheme="minorHAnsi"/>
        </w:rPr>
        <w:t>team to complete and deliver this assignment successfully will be assessed.</w:t>
      </w:r>
      <w:r w:rsidR="00E46438">
        <w:rPr>
          <w:rFonts w:cstheme="minorHAnsi"/>
        </w:rPr>
        <w:t xml:space="preserve"> </w:t>
      </w:r>
      <w:r w:rsidRPr="00D176C0">
        <w:rPr>
          <w:rFonts w:cstheme="minorHAnsi"/>
        </w:rPr>
        <w:t xml:space="preserve">The proposal will </w:t>
      </w:r>
      <w:r w:rsidR="00E46438">
        <w:rPr>
          <w:rFonts w:cstheme="minorHAnsi"/>
        </w:rPr>
        <w:t xml:space="preserve">further </w:t>
      </w:r>
      <w:r w:rsidRPr="00D176C0">
        <w:rPr>
          <w:rFonts w:cstheme="minorHAnsi"/>
        </w:rPr>
        <w:t>be evaluated based on multiple criteria, including:</w:t>
      </w:r>
    </w:p>
    <w:p w14:paraId="0C916FA4" w14:textId="77777777" w:rsidR="002B7C3D" w:rsidRPr="00D176C0" w:rsidRDefault="002B7C3D" w:rsidP="002B7C3D">
      <w:pPr>
        <w:pStyle w:val="ListParagraph"/>
        <w:numPr>
          <w:ilvl w:val="0"/>
          <w:numId w:val="7"/>
        </w:numPr>
        <w:spacing w:after="0" w:line="240" w:lineRule="auto"/>
        <w:jc w:val="both"/>
        <w:rPr>
          <w:rFonts w:cstheme="minorHAnsi"/>
          <w:lang w:val="en-GB"/>
        </w:rPr>
      </w:pPr>
      <w:r w:rsidRPr="00D176C0">
        <w:rPr>
          <w:rFonts w:cstheme="minorHAnsi"/>
          <w:lang w:val="en-GB"/>
        </w:rPr>
        <w:t>A comprehensive focus on Egypt and MENA market and its key players in the petroleum sector.</w:t>
      </w:r>
    </w:p>
    <w:p w14:paraId="4274ACB6" w14:textId="77777777" w:rsidR="002B7C3D" w:rsidRPr="00D176C0" w:rsidRDefault="002B7C3D" w:rsidP="002B7C3D">
      <w:pPr>
        <w:pStyle w:val="ListParagraph"/>
        <w:numPr>
          <w:ilvl w:val="0"/>
          <w:numId w:val="2"/>
        </w:numPr>
        <w:spacing w:after="0" w:line="240" w:lineRule="auto"/>
        <w:jc w:val="both"/>
        <w:rPr>
          <w:rFonts w:cstheme="minorHAnsi"/>
          <w:lang w:val="en-GB"/>
        </w:rPr>
      </w:pPr>
      <w:r w:rsidRPr="00D176C0">
        <w:rPr>
          <w:rFonts w:cstheme="minorHAnsi"/>
          <w:lang w:val="en-GB"/>
        </w:rPr>
        <w:t>In-depth international experience in advising clients in corporate restructuring, talent management and succession management practices and performance improvement hand in hand with operational transactions, preferably Oil &amp; Gas Industry.</w:t>
      </w:r>
    </w:p>
    <w:p w14:paraId="11129C8F" w14:textId="77777777" w:rsidR="002B7C3D" w:rsidRPr="00D176C0" w:rsidRDefault="002B7C3D" w:rsidP="002B7C3D">
      <w:pPr>
        <w:pStyle w:val="ListParagraph"/>
        <w:numPr>
          <w:ilvl w:val="0"/>
          <w:numId w:val="2"/>
        </w:numPr>
        <w:spacing w:after="0" w:line="240" w:lineRule="auto"/>
        <w:jc w:val="both"/>
        <w:rPr>
          <w:rFonts w:cstheme="minorHAnsi"/>
          <w:lang w:val="en-GB"/>
        </w:rPr>
      </w:pPr>
      <w:r w:rsidRPr="00D176C0">
        <w:rPr>
          <w:rFonts w:cstheme="minorHAnsi"/>
          <w:lang w:val="en-GB"/>
        </w:rPr>
        <w:t>Demonstrable track record of success with innovative and culturally sensitive approaches to performance evaluation, competency development and succession planning.</w:t>
      </w:r>
    </w:p>
    <w:p w14:paraId="120CD6A5" w14:textId="77777777" w:rsidR="002B7C3D" w:rsidRPr="00D176C0" w:rsidRDefault="002B7C3D" w:rsidP="002B7C3D">
      <w:pPr>
        <w:pStyle w:val="ListParagraph"/>
        <w:numPr>
          <w:ilvl w:val="0"/>
          <w:numId w:val="2"/>
        </w:numPr>
        <w:spacing w:after="0" w:line="240" w:lineRule="auto"/>
        <w:jc w:val="both"/>
        <w:rPr>
          <w:rFonts w:cstheme="minorHAnsi"/>
          <w:lang w:val="en-GB"/>
        </w:rPr>
      </w:pPr>
      <w:r w:rsidRPr="00D176C0">
        <w:rPr>
          <w:rFonts w:cstheme="minorHAnsi"/>
          <w:lang w:val="en-GB"/>
        </w:rPr>
        <w:t>At least 20 years of relevant experience and scope of work.</w:t>
      </w:r>
    </w:p>
    <w:p w14:paraId="1193305E" w14:textId="77777777" w:rsidR="002B7C3D" w:rsidRPr="00C25D70" w:rsidRDefault="002B7C3D" w:rsidP="002B7C3D">
      <w:pPr>
        <w:pStyle w:val="ListParagraph"/>
        <w:numPr>
          <w:ilvl w:val="0"/>
          <w:numId w:val="2"/>
        </w:numPr>
        <w:spacing w:after="0" w:line="240" w:lineRule="auto"/>
        <w:jc w:val="both"/>
        <w:rPr>
          <w:rFonts w:cstheme="minorHAnsi"/>
        </w:rPr>
      </w:pPr>
      <w:r w:rsidRPr="00D176C0">
        <w:rPr>
          <w:rFonts w:cstheme="minorHAnsi"/>
          <w:lang w:val="en-GB"/>
        </w:rPr>
        <w:t>Proficiency in Arab</w:t>
      </w:r>
      <w:r>
        <w:rPr>
          <w:rFonts w:cstheme="minorHAnsi"/>
          <w:lang w:val="en-GB"/>
        </w:rPr>
        <w:t>ic</w:t>
      </w:r>
      <w:r w:rsidRPr="00D176C0">
        <w:rPr>
          <w:rFonts w:cstheme="minorHAnsi"/>
          <w:lang w:val="en-GB"/>
        </w:rPr>
        <w:t xml:space="preserve"> language across the Consultancy team.</w:t>
      </w:r>
    </w:p>
    <w:p w14:paraId="755B92E6" w14:textId="57199092" w:rsidR="003C65C0" w:rsidRPr="00D477B4" w:rsidRDefault="003C65C0" w:rsidP="00840664">
      <w:pPr>
        <w:pStyle w:val="ListParagraph"/>
        <w:spacing w:after="0" w:line="240" w:lineRule="auto"/>
        <w:ind w:left="0"/>
        <w:rPr>
          <w:rFonts w:cstheme="minorHAnsi"/>
        </w:rPr>
      </w:pPr>
    </w:p>
    <w:p w14:paraId="1B2483FD" w14:textId="77777777" w:rsidR="00AC1A34" w:rsidRPr="001F23A8" w:rsidRDefault="00AC1A34" w:rsidP="001F23A8">
      <w:pPr>
        <w:pStyle w:val="ListParagraph"/>
        <w:numPr>
          <w:ilvl w:val="0"/>
          <w:numId w:val="39"/>
        </w:numPr>
        <w:spacing w:after="160" w:line="259" w:lineRule="auto"/>
        <w:jc w:val="both"/>
        <w:rPr>
          <w:rFonts w:cstheme="minorHAnsi"/>
          <w:bCs/>
        </w:rPr>
      </w:pPr>
      <w:r w:rsidRPr="001F23A8">
        <w:rPr>
          <w:rFonts w:cstheme="minorHAnsi"/>
          <w:bCs/>
          <w:u w:val="single"/>
        </w:rPr>
        <w:t>Notes</w:t>
      </w:r>
    </w:p>
    <w:p w14:paraId="62E85008" w14:textId="77777777" w:rsidR="00AC1A34" w:rsidRPr="00C745CB" w:rsidRDefault="00AC1A34" w:rsidP="00AC1A34">
      <w:pPr>
        <w:jc w:val="both"/>
        <w:rPr>
          <w:rFonts w:cstheme="minorHAnsi"/>
        </w:rPr>
      </w:pPr>
      <w:r w:rsidRPr="00C745CB">
        <w:rPr>
          <w:rFonts w:cstheme="minorHAnsi"/>
        </w:rPr>
        <w:t xml:space="preserve">The attention of interested </w:t>
      </w:r>
      <w:r>
        <w:rPr>
          <w:rFonts w:cstheme="minorHAnsi"/>
        </w:rPr>
        <w:t>firm</w:t>
      </w:r>
      <w:r w:rsidRPr="00C745CB">
        <w:rPr>
          <w:rFonts w:cstheme="minorHAnsi"/>
        </w:rPr>
        <w:t xml:space="preserve"> is drawn to paragraph 1.9 of the World Bank’s Guidelines: Selection and Employment of Consultants [under IBRD Loans and IDA Credits &amp; Grants] by World Bank Borrowers January 2011 (“Consultant Guidelines”), setting forth the World Bank’s policy on conflict of interest.</w:t>
      </w:r>
    </w:p>
    <w:p w14:paraId="05533BEB" w14:textId="77777777" w:rsidR="00AC1A34" w:rsidRPr="00C745CB" w:rsidRDefault="00AC1A34" w:rsidP="00AC1A34">
      <w:pPr>
        <w:jc w:val="both"/>
        <w:rPr>
          <w:rFonts w:cstheme="minorHAnsi"/>
        </w:rPr>
      </w:pPr>
      <w:r w:rsidRPr="00C745CB">
        <w:rPr>
          <w:rFonts w:cstheme="minorHAnsi"/>
        </w:rPr>
        <w:t>Consultan</w:t>
      </w:r>
      <w:r>
        <w:rPr>
          <w:rFonts w:cstheme="minorHAnsi"/>
        </w:rPr>
        <w:t>cy firm</w:t>
      </w:r>
      <w:r w:rsidRPr="00C745CB">
        <w:rPr>
          <w:rFonts w:cstheme="minorHAnsi"/>
        </w:rPr>
        <w:t xml:space="preserve"> may associate with other firms in the form of a joint venture or a sub-consultancy to enhance their qualifications.</w:t>
      </w:r>
    </w:p>
    <w:p w14:paraId="652E6742" w14:textId="77777777" w:rsidR="00AC1A34" w:rsidRPr="001F23A8" w:rsidRDefault="00AC1A34" w:rsidP="001F23A8">
      <w:pPr>
        <w:pStyle w:val="ListParagraph"/>
        <w:numPr>
          <w:ilvl w:val="0"/>
          <w:numId w:val="39"/>
        </w:numPr>
        <w:spacing w:after="160" w:line="259" w:lineRule="auto"/>
        <w:jc w:val="both"/>
        <w:rPr>
          <w:rFonts w:eastAsia="Times New Roman" w:cstheme="minorHAnsi"/>
          <w:u w:val="single"/>
        </w:rPr>
      </w:pPr>
      <w:r w:rsidRPr="001F23A8">
        <w:rPr>
          <w:u w:val="single"/>
        </w:rPr>
        <w:t>Confidentiality</w:t>
      </w:r>
    </w:p>
    <w:p w14:paraId="728CB8FF" w14:textId="165E43DA" w:rsidR="00CB5CA8" w:rsidRPr="00D477B4" w:rsidRDefault="00AC1A34" w:rsidP="00D66534">
      <w:pPr>
        <w:widowControl w:val="0"/>
        <w:tabs>
          <w:tab w:val="left" w:pos="220"/>
          <w:tab w:val="left" w:pos="720"/>
        </w:tabs>
        <w:autoSpaceDE w:val="0"/>
        <w:autoSpaceDN w:val="0"/>
        <w:adjustRightInd w:val="0"/>
        <w:spacing w:after="320"/>
        <w:jc w:val="both"/>
        <w:rPr>
          <w:rFonts w:cstheme="minorHAnsi"/>
        </w:rPr>
      </w:pPr>
      <w:r w:rsidRPr="0036434A">
        <w:rPr>
          <w:rFonts w:cstheme="minorHAnsi"/>
        </w:rPr>
        <w:t>The Consultant agrees to keep confidential all information that the Consultant receives, directly or indirectly, from the World Bank, Go</w:t>
      </w:r>
      <w:r>
        <w:rPr>
          <w:rFonts w:cstheme="minorHAnsi"/>
        </w:rPr>
        <w:t>E</w:t>
      </w:r>
      <w:r w:rsidRPr="0036434A">
        <w:rPr>
          <w:rFonts w:cstheme="minorHAnsi"/>
        </w:rPr>
        <w:t xml:space="preserve">, </w:t>
      </w:r>
      <w:r>
        <w:rPr>
          <w:rFonts w:cstheme="minorHAnsi"/>
        </w:rPr>
        <w:t xml:space="preserve">MoP </w:t>
      </w:r>
      <w:r w:rsidRPr="0036434A">
        <w:rPr>
          <w:rFonts w:cstheme="minorHAnsi"/>
        </w:rPr>
        <w:t>or any other stakeholder, as well as all copies or analyses that the Consultant makes, or have been made by third parties, on the basis of such information (collectively, the Material). The Consultant shall use the Material exclusively for the purpose of providing the services described in these Terms of Reference. The confidentiality obligations shall not apply to information in the public domain.</w:t>
      </w:r>
    </w:p>
    <w:sectPr w:rsidR="00CB5CA8" w:rsidRPr="00D477B4" w:rsidSect="003518A0">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B0C95" w14:textId="77777777" w:rsidR="00394EAF" w:rsidRDefault="00394EAF" w:rsidP="00A72CF2">
      <w:pPr>
        <w:spacing w:after="0" w:line="240" w:lineRule="auto"/>
      </w:pPr>
      <w:r>
        <w:separator/>
      </w:r>
    </w:p>
  </w:endnote>
  <w:endnote w:type="continuationSeparator" w:id="0">
    <w:p w14:paraId="7392FDCE" w14:textId="77777777" w:rsidR="00394EAF" w:rsidRDefault="00394EAF" w:rsidP="00A72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198622"/>
      <w:docPartObj>
        <w:docPartGallery w:val="Page Numbers (Bottom of Page)"/>
        <w:docPartUnique/>
      </w:docPartObj>
    </w:sdtPr>
    <w:sdtEndPr>
      <w:rPr>
        <w:rFonts w:ascii="Times New Roman" w:hAnsi="Times New Roman" w:cs="Times New Roman"/>
        <w:noProof/>
      </w:rPr>
    </w:sdtEndPr>
    <w:sdtContent>
      <w:p w14:paraId="0E0F900E" w14:textId="3258BDFA" w:rsidR="00A72CF2" w:rsidRPr="003D2696" w:rsidRDefault="00A72CF2">
        <w:pPr>
          <w:pStyle w:val="Footer"/>
          <w:jc w:val="center"/>
          <w:rPr>
            <w:rFonts w:ascii="Times New Roman" w:hAnsi="Times New Roman" w:cs="Times New Roman"/>
          </w:rPr>
        </w:pPr>
        <w:r w:rsidRPr="003D2696">
          <w:rPr>
            <w:rFonts w:ascii="Times New Roman" w:hAnsi="Times New Roman" w:cs="Times New Roman"/>
          </w:rPr>
          <w:fldChar w:fldCharType="begin"/>
        </w:r>
        <w:r w:rsidRPr="003D2696">
          <w:rPr>
            <w:rFonts w:ascii="Times New Roman" w:hAnsi="Times New Roman" w:cs="Times New Roman"/>
          </w:rPr>
          <w:instrText xml:space="preserve"> PAGE   \* MERGEFORMAT </w:instrText>
        </w:r>
        <w:r w:rsidRPr="003D2696">
          <w:rPr>
            <w:rFonts w:ascii="Times New Roman" w:hAnsi="Times New Roman" w:cs="Times New Roman"/>
          </w:rPr>
          <w:fldChar w:fldCharType="separate"/>
        </w:r>
        <w:r w:rsidR="00AE69A2">
          <w:rPr>
            <w:rFonts w:ascii="Times New Roman" w:hAnsi="Times New Roman" w:cs="Times New Roman"/>
            <w:noProof/>
          </w:rPr>
          <w:t>1</w:t>
        </w:r>
        <w:r w:rsidRPr="003D2696">
          <w:rPr>
            <w:rFonts w:ascii="Times New Roman" w:hAnsi="Times New Roman" w:cs="Times New Roman"/>
            <w:noProof/>
          </w:rPr>
          <w:fldChar w:fldCharType="end"/>
        </w:r>
      </w:p>
    </w:sdtContent>
  </w:sdt>
  <w:p w14:paraId="06162CD3" w14:textId="77777777" w:rsidR="00A72CF2" w:rsidRDefault="00A72CF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52FC96" w14:textId="77777777" w:rsidR="00394EAF" w:rsidRDefault="00394EAF" w:rsidP="00A72CF2">
      <w:pPr>
        <w:spacing w:after="0" w:line="240" w:lineRule="auto"/>
      </w:pPr>
      <w:r>
        <w:separator/>
      </w:r>
    </w:p>
  </w:footnote>
  <w:footnote w:type="continuationSeparator" w:id="0">
    <w:p w14:paraId="46E57FAE" w14:textId="77777777" w:rsidR="00394EAF" w:rsidRDefault="00394EAF" w:rsidP="00A72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E24"/>
    <w:multiLevelType w:val="hybridMultilevel"/>
    <w:tmpl w:val="1A024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42BC5"/>
    <w:multiLevelType w:val="multilevel"/>
    <w:tmpl w:val="36C0DF1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304169"/>
    <w:multiLevelType w:val="hybridMultilevel"/>
    <w:tmpl w:val="4DC60098"/>
    <w:lvl w:ilvl="0" w:tplc="44FE42BE">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0BA5645B"/>
    <w:multiLevelType w:val="hybridMultilevel"/>
    <w:tmpl w:val="CACEC9A6"/>
    <w:lvl w:ilvl="0" w:tplc="04090019">
      <w:start w:val="1"/>
      <w:numFmt w:val="lowerLetter"/>
      <w:lvlText w:val="%1."/>
      <w:lvlJc w:val="left"/>
      <w:pPr>
        <w:ind w:left="1693" w:hanging="360"/>
      </w:pPr>
      <w:rPr>
        <w:rFonts w:hint="default"/>
      </w:r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4" w15:restartNumberingAfterBreak="0">
    <w:nsid w:val="0BD76920"/>
    <w:multiLevelType w:val="hybridMultilevel"/>
    <w:tmpl w:val="71EE1B6C"/>
    <w:lvl w:ilvl="0" w:tplc="68D2ABC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30AD5"/>
    <w:multiLevelType w:val="hybridMultilevel"/>
    <w:tmpl w:val="94F05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27116E"/>
    <w:multiLevelType w:val="hybridMultilevel"/>
    <w:tmpl w:val="0910F82E"/>
    <w:lvl w:ilvl="0" w:tplc="4D7E64B6">
      <w:numFmt w:val="bullet"/>
      <w:lvlText w:val="-"/>
      <w:lvlJc w:val="left"/>
      <w:pPr>
        <w:ind w:left="1453" w:hanging="675"/>
      </w:pPr>
      <w:rPr>
        <w:rFonts w:ascii="Times New Roman" w:eastAsiaTheme="minorHAnsi" w:hAnsi="Times New Roman" w:cs="Times New Roman" w:hint="default"/>
      </w:rPr>
    </w:lvl>
    <w:lvl w:ilvl="1" w:tplc="04090003" w:tentative="1">
      <w:start w:val="1"/>
      <w:numFmt w:val="bullet"/>
      <w:lvlText w:val="o"/>
      <w:lvlJc w:val="left"/>
      <w:pPr>
        <w:ind w:left="1858" w:hanging="360"/>
      </w:pPr>
      <w:rPr>
        <w:rFonts w:ascii="Courier New" w:hAnsi="Courier New" w:cs="Courier New" w:hint="default"/>
      </w:rPr>
    </w:lvl>
    <w:lvl w:ilvl="2" w:tplc="04090005" w:tentative="1">
      <w:start w:val="1"/>
      <w:numFmt w:val="bullet"/>
      <w:lvlText w:val=""/>
      <w:lvlJc w:val="left"/>
      <w:pPr>
        <w:ind w:left="2578" w:hanging="360"/>
      </w:pPr>
      <w:rPr>
        <w:rFonts w:ascii="Wingdings" w:hAnsi="Wingdings" w:hint="default"/>
      </w:rPr>
    </w:lvl>
    <w:lvl w:ilvl="3" w:tplc="04090001" w:tentative="1">
      <w:start w:val="1"/>
      <w:numFmt w:val="bullet"/>
      <w:lvlText w:val=""/>
      <w:lvlJc w:val="left"/>
      <w:pPr>
        <w:ind w:left="3298" w:hanging="360"/>
      </w:pPr>
      <w:rPr>
        <w:rFonts w:ascii="Symbol" w:hAnsi="Symbol" w:hint="default"/>
      </w:rPr>
    </w:lvl>
    <w:lvl w:ilvl="4" w:tplc="04090003" w:tentative="1">
      <w:start w:val="1"/>
      <w:numFmt w:val="bullet"/>
      <w:lvlText w:val="o"/>
      <w:lvlJc w:val="left"/>
      <w:pPr>
        <w:ind w:left="4018" w:hanging="360"/>
      </w:pPr>
      <w:rPr>
        <w:rFonts w:ascii="Courier New" w:hAnsi="Courier New" w:cs="Courier New" w:hint="default"/>
      </w:rPr>
    </w:lvl>
    <w:lvl w:ilvl="5" w:tplc="04090005" w:tentative="1">
      <w:start w:val="1"/>
      <w:numFmt w:val="bullet"/>
      <w:lvlText w:val=""/>
      <w:lvlJc w:val="left"/>
      <w:pPr>
        <w:ind w:left="4738" w:hanging="360"/>
      </w:pPr>
      <w:rPr>
        <w:rFonts w:ascii="Wingdings" w:hAnsi="Wingdings" w:hint="default"/>
      </w:rPr>
    </w:lvl>
    <w:lvl w:ilvl="6" w:tplc="04090001" w:tentative="1">
      <w:start w:val="1"/>
      <w:numFmt w:val="bullet"/>
      <w:lvlText w:val=""/>
      <w:lvlJc w:val="left"/>
      <w:pPr>
        <w:ind w:left="5458" w:hanging="360"/>
      </w:pPr>
      <w:rPr>
        <w:rFonts w:ascii="Symbol" w:hAnsi="Symbol" w:hint="default"/>
      </w:rPr>
    </w:lvl>
    <w:lvl w:ilvl="7" w:tplc="04090003" w:tentative="1">
      <w:start w:val="1"/>
      <w:numFmt w:val="bullet"/>
      <w:lvlText w:val="o"/>
      <w:lvlJc w:val="left"/>
      <w:pPr>
        <w:ind w:left="6178" w:hanging="360"/>
      </w:pPr>
      <w:rPr>
        <w:rFonts w:ascii="Courier New" w:hAnsi="Courier New" w:cs="Courier New" w:hint="default"/>
      </w:rPr>
    </w:lvl>
    <w:lvl w:ilvl="8" w:tplc="04090005" w:tentative="1">
      <w:start w:val="1"/>
      <w:numFmt w:val="bullet"/>
      <w:lvlText w:val=""/>
      <w:lvlJc w:val="left"/>
      <w:pPr>
        <w:ind w:left="6898" w:hanging="360"/>
      </w:pPr>
      <w:rPr>
        <w:rFonts w:ascii="Wingdings" w:hAnsi="Wingdings" w:hint="default"/>
      </w:rPr>
    </w:lvl>
  </w:abstractNum>
  <w:abstractNum w:abstractNumId="7" w15:restartNumberingAfterBreak="0">
    <w:nsid w:val="14762700"/>
    <w:multiLevelType w:val="hybridMultilevel"/>
    <w:tmpl w:val="8EC0FCE4"/>
    <w:lvl w:ilvl="0" w:tplc="3E186BD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C4222"/>
    <w:multiLevelType w:val="hybridMultilevel"/>
    <w:tmpl w:val="ACC0E270"/>
    <w:lvl w:ilvl="0" w:tplc="68D2ABC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E63A23"/>
    <w:multiLevelType w:val="hybridMultilevel"/>
    <w:tmpl w:val="64FA29E6"/>
    <w:lvl w:ilvl="0" w:tplc="1B502840">
      <w:start w:val="1"/>
      <w:numFmt w:val="decimal"/>
      <w:lvlText w:val="%1)"/>
      <w:lvlJc w:val="left"/>
      <w:pPr>
        <w:ind w:left="1333" w:hanging="555"/>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0" w15:restartNumberingAfterBreak="0">
    <w:nsid w:val="1A0C6A37"/>
    <w:multiLevelType w:val="hybridMultilevel"/>
    <w:tmpl w:val="F7E4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40CE3"/>
    <w:multiLevelType w:val="hybridMultilevel"/>
    <w:tmpl w:val="2F1E1A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B6770"/>
    <w:multiLevelType w:val="hybridMultilevel"/>
    <w:tmpl w:val="F768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5531E"/>
    <w:multiLevelType w:val="hybridMultilevel"/>
    <w:tmpl w:val="F56A6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F84AA9"/>
    <w:multiLevelType w:val="hybridMultilevel"/>
    <w:tmpl w:val="28246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40A97"/>
    <w:multiLevelType w:val="hybridMultilevel"/>
    <w:tmpl w:val="FB6E41B6"/>
    <w:lvl w:ilvl="0" w:tplc="68D2ABC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626DE"/>
    <w:multiLevelType w:val="hybridMultilevel"/>
    <w:tmpl w:val="777E8A2C"/>
    <w:lvl w:ilvl="0" w:tplc="68D2ABC6">
      <w:start w:val="1"/>
      <w:numFmt w:val="bullet"/>
      <w:lvlText w:val="−"/>
      <w:lvlJc w:val="left"/>
      <w:pPr>
        <w:ind w:left="1498" w:hanging="360"/>
      </w:pPr>
      <w:rPr>
        <w:rFonts w:ascii="Times New Roman" w:hAnsi="Times New Roman" w:cs="Times New Roman"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7" w15:restartNumberingAfterBreak="0">
    <w:nsid w:val="3C332AE6"/>
    <w:multiLevelType w:val="hybridMultilevel"/>
    <w:tmpl w:val="C49AD1C0"/>
    <w:lvl w:ilvl="0" w:tplc="04090019">
      <w:start w:val="1"/>
      <w:numFmt w:val="lowerLetter"/>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18" w15:restartNumberingAfterBreak="0">
    <w:nsid w:val="3DA34662"/>
    <w:multiLevelType w:val="hybridMultilevel"/>
    <w:tmpl w:val="2AB8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7737A"/>
    <w:multiLevelType w:val="hybridMultilevel"/>
    <w:tmpl w:val="E500E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7F36FC"/>
    <w:multiLevelType w:val="hybridMultilevel"/>
    <w:tmpl w:val="75B086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2A73BBA"/>
    <w:multiLevelType w:val="hybridMultilevel"/>
    <w:tmpl w:val="1B3E8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BB1752"/>
    <w:multiLevelType w:val="hybridMultilevel"/>
    <w:tmpl w:val="5AF2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F3006"/>
    <w:multiLevelType w:val="hybridMultilevel"/>
    <w:tmpl w:val="2654F158"/>
    <w:lvl w:ilvl="0" w:tplc="68D2ABC6">
      <w:start w:val="1"/>
      <w:numFmt w:val="bullet"/>
      <w:lvlText w:val="−"/>
      <w:lvlJc w:val="left"/>
      <w:pPr>
        <w:ind w:left="1620" w:hanging="360"/>
      </w:pPr>
      <w:rPr>
        <w:rFonts w:ascii="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DC24C43"/>
    <w:multiLevelType w:val="hybridMultilevel"/>
    <w:tmpl w:val="D976272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03B3FE2"/>
    <w:multiLevelType w:val="hybridMultilevel"/>
    <w:tmpl w:val="D6C83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69198D"/>
    <w:multiLevelType w:val="hybridMultilevel"/>
    <w:tmpl w:val="EB1EA0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C086FB0"/>
    <w:multiLevelType w:val="hybridMultilevel"/>
    <w:tmpl w:val="495E1BC2"/>
    <w:lvl w:ilvl="0" w:tplc="46D4848C">
      <w:start w:val="1"/>
      <w:numFmt w:val="bullet"/>
      <w:lvlText w:val=""/>
      <w:lvlJc w:val="left"/>
      <w:pPr>
        <w:ind w:left="720" w:hanging="360"/>
      </w:pPr>
      <w:rPr>
        <w:rFonts w:ascii="Symbol" w:hAnsi="Symbol" w:hint="default"/>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C6C5765"/>
    <w:multiLevelType w:val="hybridMultilevel"/>
    <w:tmpl w:val="249027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511B3"/>
    <w:multiLevelType w:val="hybridMultilevel"/>
    <w:tmpl w:val="DA64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46FDC"/>
    <w:multiLevelType w:val="hybridMultilevel"/>
    <w:tmpl w:val="8C2CF20E"/>
    <w:lvl w:ilvl="0" w:tplc="68D2ABC6">
      <w:start w:val="1"/>
      <w:numFmt w:val="bullet"/>
      <w:lvlText w:val="−"/>
      <w:lvlJc w:val="left"/>
      <w:pPr>
        <w:ind w:left="1530" w:hanging="360"/>
      </w:pPr>
      <w:rPr>
        <w:rFonts w:ascii="Times New Roman" w:hAnsi="Times New Roman" w:cs="Times New Roman"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15:restartNumberingAfterBreak="0">
    <w:nsid w:val="61D20907"/>
    <w:multiLevelType w:val="hybridMultilevel"/>
    <w:tmpl w:val="264A368E"/>
    <w:lvl w:ilvl="0" w:tplc="68D2ABC6">
      <w:start w:val="1"/>
      <w:numFmt w:val="bullet"/>
      <w:lvlText w:val="−"/>
      <w:lvlJc w:val="left"/>
      <w:pPr>
        <w:ind w:left="720" w:hanging="360"/>
      </w:pPr>
      <w:rPr>
        <w:rFonts w:ascii="Times New Roman" w:hAnsi="Times New Roman" w:cs="Times New Roman" w:hint="default"/>
        <w:color w:val="215868" w:themeColor="accent5"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E64D6B"/>
    <w:multiLevelType w:val="hybridMultilevel"/>
    <w:tmpl w:val="6BBA480E"/>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33" w15:restartNumberingAfterBreak="0">
    <w:nsid w:val="65931089"/>
    <w:multiLevelType w:val="hybridMultilevel"/>
    <w:tmpl w:val="F72022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6C9684B"/>
    <w:multiLevelType w:val="hybridMultilevel"/>
    <w:tmpl w:val="1F267CCA"/>
    <w:lvl w:ilvl="0" w:tplc="AD201CA4">
      <w:start w:val="1"/>
      <w:numFmt w:val="decimal"/>
      <w:lvlText w:val="%1."/>
      <w:lvlJc w:val="left"/>
      <w:pPr>
        <w:ind w:left="720" w:hanging="360"/>
      </w:pPr>
      <w:rPr>
        <w:rFonts w:hint="default"/>
        <w:color w:val="215868" w:themeColor="accent5"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66614"/>
    <w:multiLevelType w:val="hybridMultilevel"/>
    <w:tmpl w:val="A982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B29E6"/>
    <w:multiLevelType w:val="hybridMultilevel"/>
    <w:tmpl w:val="4D7C1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B2F20"/>
    <w:multiLevelType w:val="hybridMultilevel"/>
    <w:tmpl w:val="B9BE1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637C2"/>
    <w:multiLevelType w:val="hybridMultilevel"/>
    <w:tmpl w:val="936887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1234E"/>
    <w:multiLevelType w:val="hybridMultilevel"/>
    <w:tmpl w:val="23D86A44"/>
    <w:lvl w:ilvl="0" w:tplc="68D2ABC6">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9AE6888"/>
    <w:multiLevelType w:val="hybridMultilevel"/>
    <w:tmpl w:val="CB3683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075B40"/>
    <w:multiLevelType w:val="hybridMultilevel"/>
    <w:tmpl w:val="01881DC8"/>
    <w:lvl w:ilvl="0" w:tplc="04090011">
      <w:start w:val="2"/>
      <w:numFmt w:val="decimal"/>
      <w:lvlText w:val="%1)"/>
      <w:lvlJc w:val="left"/>
      <w:pPr>
        <w:ind w:left="720" w:hanging="360"/>
      </w:pPr>
      <w:rPr>
        <w:rFonts w:hint="default"/>
      </w:rPr>
    </w:lvl>
    <w:lvl w:ilvl="1" w:tplc="C9287618">
      <w:numFmt w:val="bullet"/>
      <w:lvlText w:val="-"/>
      <w:lvlJc w:val="left"/>
      <w:pPr>
        <w:ind w:left="1755" w:hanging="67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38"/>
  </w:num>
  <w:num w:numId="5">
    <w:abstractNumId w:val="0"/>
  </w:num>
  <w:num w:numId="6">
    <w:abstractNumId w:val="26"/>
  </w:num>
  <w:num w:numId="7">
    <w:abstractNumId w:val="27"/>
  </w:num>
  <w:num w:numId="8">
    <w:abstractNumId w:val="34"/>
  </w:num>
  <w:num w:numId="9">
    <w:abstractNumId w:val="23"/>
  </w:num>
  <w:num w:numId="10">
    <w:abstractNumId w:val="13"/>
  </w:num>
  <w:num w:numId="11">
    <w:abstractNumId w:val="7"/>
  </w:num>
  <w:num w:numId="12">
    <w:abstractNumId w:val="40"/>
  </w:num>
  <w:num w:numId="13">
    <w:abstractNumId w:val="28"/>
  </w:num>
  <w:num w:numId="14">
    <w:abstractNumId w:val="33"/>
  </w:num>
  <w:num w:numId="15">
    <w:abstractNumId w:val="29"/>
  </w:num>
  <w:num w:numId="16">
    <w:abstractNumId w:val="39"/>
  </w:num>
  <w:num w:numId="17">
    <w:abstractNumId w:val="8"/>
  </w:num>
  <w:num w:numId="18">
    <w:abstractNumId w:val="37"/>
  </w:num>
  <w:num w:numId="19">
    <w:abstractNumId w:val="12"/>
  </w:num>
  <w:num w:numId="20">
    <w:abstractNumId w:val="32"/>
  </w:num>
  <w:num w:numId="21">
    <w:abstractNumId w:val="36"/>
  </w:num>
  <w:num w:numId="22">
    <w:abstractNumId w:val="24"/>
  </w:num>
  <w:num w:numId="23">
    <w:abstractNumId w:val="22"/>
  </w:num>
  <w:num w:numId="24">
    <w:abstractNumId w:val="19"/>
  </w:num>
  <w:num w:numId="25">
    <w:abstractNumId w:val="14"/>
  </w:num>
  <w:num w:numId="26">
    <w:abstractNumId w:val="41"/>
  </w:num>
  <w:num w:numId="27">
    <w:abstractNumId w:val="9"/>
  </w:num>
  <w:num w:numId="28">
    <w:abstractNumId w:val="16"/>
  </w:num>
  <w:num w:numId="29">
    <w:abstractNumId w:val="6"/>
  </w:num>
  <w:num w:numId="30">
    <w:abstractNumId w:val="30"/>
  </w:num>
  <w:num w:numId="31">
    <w:abstractNumId w:val="15"/>
  </w:num>
  <w:num w:numId="32">
    <w:abstractNumId w:val="31"/>
  </w:num>
  <w:num w:numId="33">
    <w:abstractNumId w:val="3"/>
  </w:num>
  <w:num w:numId="34">
    <w:abstractNumId w:val="18"/>
  </w:num>
  <w:num w:numId="35">
    <w:abstractNumId w:val="35"/>
  </w:num>
  <w:num w:numId="36">
    <w:abstractNumId w:val="5"/>
  </w:num>
  <w:num w:numId="37">
    <w:abstractNumId w:val="4"/>
  </w:num>
  <w:num w:numId="38">
    <w:abstractNumId w:val="21"/>
  </w:num>
  <w:num w:numId="39">
    <w:abstractNumId w:val="25"/>
  </w:num>
  <w:num w:numId="40">
    <w:abstractNumId w:val="20"/>
  </w:num>
  <w:num w:numId="41">
    <w:abstractNumId w:val="1"/>
  </w:num>
  <w:num w:numId="4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F2"/>
    <w:rsid w:val="000029CF"/>
    <w:rsid w:val="0001049D"/>
    <w:rsid w:val="0001150A"/>
    <w:rsid w:val="00014FAD"/>
    <w:rsid w:val="0001757A"/>
    <w:rsid w:val="00017677"/>
    <w:rsid w:val="00021B45"/>
    <w:rsid w:val="000224D8"/>
    <w:rsid w:val="00024DF1"/>
    <w:rsid w:val="0002606F"/>
    <w:rsid w:val="000273D2"/>
    <w:rsid w:val="00030CDA"/>
    <w:rsid w:val="000324EC"/>
    <w:rsid w:val="000327F1"/>
    <w:rsid w:val="00034CE0"/>
    <w:rsid w:val="00035C65"/>
    <w:rsid w:val="00035E21"/>
    <w:rsid w:val="00037F75"/>
    <w:rsid w:val="00040B97"/>
    <w:rsid w:val="000420F3"/>
    <w:rsid w:val="00042D6F"/>
    <w:rsid w:val="00042FE6"/>
    <w:rsid w:val="000433EF"/>
    <w:rsid w:val="00045C02"/>
    <w:rsid w:val="0005209A"/>
    <w:rsid w:val="00053879"/>
    <w:rsid w:val="00055741"/>
    <w:rsid w:val="00056E99"/>
    <w:rsid w:val="00056EF5"/>
    <w:rsid w:val="00063438"/>
    <w:rsid w:val="00064C99"/>
    <w:rsid w:val="00065C03"/>
    <w:rsid w:val="00070A7C"/>
    <w:rsid w:val="0007141D"/>
    <w:rsid w:val="00076B65"/>
    <w:rsid w:val="00077089"/>
    <w:rsid w:val="000773E4"/>
    <w:rsid w:val="0008091E"/>
    <w:rsid w:val="00083271"/>
    <w:rsid w:val="000840FA"/>
    <w:rsid w:val="000844B5"/>
    <w:rsid w:val="00086807"/>
    <w:rsid w:val="000908E7"/>
    <w:rsid w:val="00090F3E"/>
    <w:rsid w:val="00093F37"/>
    <w:rsid w:val="00094EB0"/>
    <w:rsid w:val="000A1086"/>
    <w:rsid w:val="000A1AA3"/>
    <w:rsid w:val="000B0C9F"/>
    <w:rsid w:val="000C3DCF"/>
    <w:rsid w:val="000D087B"/>
    <w:rsid w:val="000D2033"/>
    <w:rsid w:val="000D2B3E"/>
    <w:rsid w:val="000D40FF"/>
    <w:rsid w:val="000E0A94"/>
    <w:rsid w:val="000E106A"/>
    <w:rsid w:val="000E2200"/>
    <w:rsid w:val="000E6044"/>
    <w:rsid w:val="000E7633"/>
    <w:rsid w:val="000F1248"/>
    <w:rsid w:val="000F4739"/>
    <w:rsid w:val="000F4AC7"/>
    <w:rsid w:val="00104BB7"/>
    <w:rsid w:val="00110C72"/>
    <w:rsid w:val="001121E4"/>
    <w:rsid w:val="00120FE6"/>
    <w:rsid w:val="001230C2"/>
    <w:rsid w:val="00125755"/>
    <w:rsid w:val="00126991"/>
    <w:rsid w:val="00130C1B"/>
    <w:rsid w:val="00131B3B"/>
    <w:rsid w:val="0013335C"/>
    <w:rsid w:val="001337CC"/>
    <w:rsid w:val="00135EF8"/>
    <w:rsid w:val="001373C9"/>
    <w:rsid w:val="00137FB8"/>
    <w:rsid w:val="00142798"/>
    <w:rsid w:val="00144BC6"/>
    <w:rsid w:val="0014680B"/>
    <w:rsid w:val="00147427"/>
    <w:rsid w:val="00147B70"/>
    <w:rsid w:val="001526D4"/>
    <w:rsid w:val="00160564"/>
    <w:rsid w:val="00162468"/>
    <w:rsid w:val="00164909"/>
    <w:rsid w:val="001671A3"/>
    <w:rsid w:val="00170661"/>
    <w:rsid w:val="00173D20"/>
    <w:rsid w:val="0017510D"/>
    <w:rsid w:val="00182776"/>
    <w:rsid w:val="00184721"/>
    <w:rsid w:val="0018545F"/>
    <w:rsid w:val="00192527"/>
    <w:rsid w:val="00192FCC"/>
    <w:rsid w:val="00194617"/>
    <w:rsid w:val="00194C9C"/>
    <w:rsid w:val="00196B4B"/>
    <w:rsid w:val="001972D1"/>
    <w:rsid w:val="001A5339"/>
    <w:rsid w:val="001A5A5D"/>
    <w:rsid w:val="001B4441"/>
    <w:rsid w:val="001B44F2"/>
    <w:rsid w:val="001B5707"/>
    <w:rsid w:val="001B5F82"/>
    <w:rsid w:val="001B6362"/>
    <w:rsid w:val="001B725C"/>
    <w:rsid w:val="001C50F1"/>
    <w:rsid w:val="001D42EF"/>
    <w:rsid w:val="001D6D05"/>
    <w:rsid w:val="001E5345"/>
    <w:rsid w:val="001F0578"/>
    <w:rsid w:val="001F23A8"/>
    <w:rsid w:val="001F5332"/>
    <w:rsid w:val="001F663B"/>
    <w:rsid w:val="001F7393"/>
    <w:rsid w:val="001F7CA5"/>
    <w:rsid w:val="002006F8"/>
    <w:rsid w:val="00200F60"/>
    <w:rsid w:val="00211BDD"/>
    <w:rsid w:val="00214DF8"/>
    <w:rsid w:val="00216169"/>
    <w:rsid w:val="00216B15"/>
    <w:rsid w:val="00217B49"/>
    <w:rsid w:val="00221518"/>
    <w:rsid w:val="00222C64"/>
    <w:rsid w:val="00225861"/>
    <w:rsid w:val="00225C9A"/>
    <w:rsid w:val="00232489"/>
    <w:rsid w:val="00233E0D"/>
    <w:rsid w:val="00240142"/>
    <w:rsid w:val="00241A4C"/>
    <w:rsid w:val="002425DE"/>
    <w:rsid w:val="002460C4"/>
    <w:rsid w:val="00246D0A"/>
    <w:rsid w:val="002474E3"/>
    <w:rsid w:val="002546BF"/>
    <w:rsid w:val="00260FEC"/>
    <w:rsid w:val="002635F8"/>
    <w:rsid w:val="00263DDC"/>
    <w:rsid w:val="00266018"/>
    <w:rsid w:val="00272569"/>
    <w:rsid w:val="0027661C"/>
    <w:rsid w:val="002768B1"/>
    <w:rsid w:val="002820D0"/>
    <w:rsid w:val="00282650"/>
    <w:rsid w:val="00283687"/>
    <w:rsid w:val="00283BCF"/>
    <w:rsid w:val="0028432D"/>
    <w:rsid w:val="00291318"/>
    <w:rsid w:val="002958BE"/>
    <w:rsid w:val="002B4A13"/>
    <w:rsid w:val="002B7C3D"/>
    <w:rsid w:val="002C0F8E"/>
    <w:rsid w:val="002C1E24"/>
    <w:rsid w:val="002C2FF9"/>
    <w:rsid w:val="002C33F4"/>
    <w:rsid w:val="002C4319"/>
    <w:rsid w:val="002C4F1C"/>
    <w:rsid w:val="002D35DD"/>
    <w:rsid w:val="002D3C90"/>
    <w:rsid w:val="002D451B"/>
    <w:rsid w:val="002D7235"/>
    <w:rsid w:val="002D73E4"/>
    <w:rsid w:val="002E05F3"/>
    <w:rsid w:val="002E2EDA"/>
    <w:rsid w:val="002E33DD"/>
    <w:rsid w:val="002E3CEF"/>
    <w:rsid w:val="002E4B5F"/>
    <w:rsid w:val="002E4D68"/>
    <w:rsid w:val="002E6035"/>
    <w:rsid w:val="002E6996"/>
    <w:rsid w:val="002F3A1C"/>
    <w:rsid w:val="002F40C6"/>
    <w:rsid w:val="0030164D"/>
    <w:rsid w:val="003017F5"/>
    <w:rsid w:val="003029AA"/>
    <w:rsid w:val="00302A77"/>
    <w:rsid w:val="00302C6D"/>
    <w:rsid w:val="00304C84"/>
    <w:rsid w:val="0030628D"/>
    <w:rsid w:val="00306594"/>
    <w:rsid w:val="00307AC0"/>
    <w:rsid w:val="00310DA1"/>
    <w:rsid w:val="003122D0"/>
    <w:rsid w:val="00316480"/>
    <w:rsid w:val="00316E92"/>
    <w:rsid w:val="00317526"/>
    <w:rsid w:val="00322B80"/>
    <w:rsid w:val="003239DE"/>
    <w:rsid w:val="003267B9"/>
    <w:rsid w:val="00333EEE"/>
    <w:rsid w:val="00334343"/>
    <w:rsid w:val="00337618"/>
    <w:rsid w:val="00340E2B"/>
    <w:rsid w:val="0034139E"/>
    <w:rsid w:val="00345105"/>
    <w:rsid w:val="00346903"/>
    <w:rsid w:val="00347736"/>
    <w:rsid w:val="003518A0"/>
    <w:rsid w:val="00351A9B"/>
    <w:rsid w:val="00356270"/>
    <w:rsid w:val="00362855"/>
    <w:rsid w:val="003634CA"/>
    <w:rsid w:val="00364222"/>
    <w:rsid w:val="003647FD"/>
    <w:rsid w:val="00371529"/>
    <w:rsid w:val="00371733"/>
    <w:rsid w:val="0037213F"/>
    <w:rsid w:val="00374DE7"/>
    <w:rsid w:val="00383534"/>
    <w:rsid w:val="00383E31"/>
    <w:rsid w:val="0038573A"/>
    <w:rsid w:val="00392902"/>
    <w:rsid w:val="00394EAF"/>
    <w:rsid w:val="003954F2"/>
    <w:rsid w:val="00395F39"/>
    <w:rsid w:val="0039754C"/>
    <w:rsid w:val="003A165F"/>
    <w:rsid w:val="003A76CC"/>
    <w:rsid w:val="003B22D3"/>
    <w:rsid w:val="003B249F"/>
    <w:rsid w:val="003B62F6"/>
    <w:rsid w:val="003B6EDE"/>
    <w:rsid w:val="003C65C0"/>
    <w:rsid w:val="003C7599"/>
    <w:rsid w:val="003D2696"/>
    <w:rsid w:val="003D5176"/>
    <w:rsid w:val="003D6BBB"/>
    <w:rsid w:val="003D75E8"/>
    <w:rsid w:val="003E15D0"/>
    <w:rsid w:val="003E18D3"/>
    <w:rsid w:val="003E2868"/>
    <w:rsid w:val="003E38AF"/>
    <w:rsid w:val="003E407C"/>
    <w:rsid w:val="003E46D8"/>
    <w:rsid w:val="003F02DD"/>
    <w:rsid w:val="003F63DE"/>
    <w:rsid w:val="003F7B77"/>
    <w:rsid w:val="004007F2"/>
    <w:rsid w:val="00401A2F"/>
    <w:rsid w:val="0040407D"/>
    <w:rsid w:val="00404B79"/>
    <w:rsid w:val="00406023"/>
    <w:rsid w:val="00406CAD"/>
    <w:rsid w:val="00410795"/>
    <w:rsid w:val="00413ECC"/>
    <w:rsid w:val="00420A8E"/>
    <w:rsid w:val="00422B29"/>
    <w:rsid w:val="0042683C"/>
    <w:rsid w:val="004276DA"/>
    <w:rsid w:val="004276E8"/>
    <w:rsid w:val="00432B53"/>
    <w:rsid w:val="004339A5"/>
    <w:rsid w:val="00436D0C"/>
    <w:rsid w:val="0043737B"/>
    <w:rsid w:val="00437F60"/>
    <w:rsid w:val="00442E2D"/>
    <w:rsid w:val="00443720"/>
    <w:rsid w:val="00443C12"/>
    <w:rsid w:val="0044495D"/>
    <w:rsid w:val="00445457"/>
    <w:rsid w:val="0044737C"/>
    <w:rsid w:val="004576F4"/>
    <w:rsid w:val="0046013E"/>
    <w:rsid w:val="00463228"/>
    <w:rsid w:val="004633A0"/>
    <w:rsid w:val="004641C3"/>
    <w:rsid w:val="004676C1"/>
    <w:rsid w:val="00467C54"/>
    <w:rsid w:val="00472DD0"/>
    <w:rsid w:val="00473875"/>
    <w:rsid w:val="00473F2B"/>
    <w:rsid w:val="00477EDE"/>
    <w:rsid w:val="00480F22"/>
    <w:rsid w:val="0048352E"/>
    <w:rsid w:val="00483B50"/>
    <w:rsid w:val="0048534C"/>
    <w:rsid w:val="00490301"/>
    <w:rsid w:val="004A3C1C"/>
    <w:rsid w:val="004A7512"/>
    <w:rsid w:val="004B0914"/>
    <w:rsid w:val="004B1BBA"/>
    <w:rsid w:val="004B265A"/>
    <w:rsid w:val="004B5FF6"/>
    <w:rsid w:val="004B6142"/>
    <w:rsid w:val="004B7E3F"/>
    <w:rsid w:val="004C00D1"/>
    <w:rsid w:val="004C13F5"/>
    <w:rsid w:val="004C4510"/>
    <w:rsid w:val="004D0EDF"/>
    <w:rsid w:val="004D2F6C"/>
    <w:rsid w:val="004D372C"/>
    <w:rsid w:val="004D39FC"/>
    <w:rsid w:val="004D5CEF"/>
    <w:rsid w:val="004D624C"/>
    <w:rsid w:val="004E15BD"/>
    <w:rsid w:val="004E466D"/>
    <w:rsid w:val="004E69C4"/>
    <w:rsid w:val="004E7C60"/>
    <w:rsid w:val="004F0469"/>
    <w:rsid w:val="004F208D"/>
    <w:rsid w:val="004F518E"/>
    <w:rsid w:val="004F5859"/>
    <w:rsid w:val="004F5FF4"/>
    <w:rsid w:val="004F66E1"/>
    <w:rsid w:val="004F7C23"/>
    <w:rsid w:val="00500073"/>
    <w:rsid w:val="00500E32"/>
    <w:rsid w:val="00504669"/>
    <w:rsid w:val="005079C2"/>
    <w:rsid w:val="0051093D"/>
    <w:rsid w:val="00510B5D"/>
    <w:rsid w:val="00523299"/>
    <w:rsid w:val="0052466F"/>
    <w:rsid w:val="00524E82"/>
    <w:rsid w:val="00525700"/>
    <w:rsid w:val="00525E69"/>
    <w:rsid w:val="005264B0"/>
    <w:rsid w:val="00526FCC"/>
    <w:rsid w:val="00527115"/>
    <w:rsid w:val="00535AC5"/>
    <w:rsid w:val="00541D84"/>
    <w:rsid w:val="00542654"/>
    <w:rsid w:val="0055752A"/>
    <w:rsid w:val="00557E3E"/>
    <w:rsid w:val="005609E9"/>
    <w:rsid w:val="00563728"/>
    <w:rsid w:val="0056486C"/>
    <w:rsid w:val="005661BA"/>
    <w:rsid w:val="00570077"/>
    <w:rsid w:val="005726EC"/>
    <w:rsid w:val="00572807"/>
    <w:rsid w:val="00576B9B"/>
    <w:rsid w:val="00577058"/>
    <w:rsid w:val="005839D7"/>
    <w:rsid w:val="00586AF3"/>
    <w:rsid w:val="00591E2C"/>
    <w:rsid w:val="00592739"/>
    <w:rsid w:val="00592DA9"/>
    <w:rsid w:val="005A3786"/>
    <w:rsid w:val="005A4A4C"/>
    <w:rsid w:val="005A60A6"/>
    <w:rsid w:val="005B4DEA"/>
    <w:rsid w:val="005C25DA"/>
    <w:rsid w:val="005C485A"/>
    <w:rsid w:val="005C5A03"/>
    <w:rsid w:val="005D510E"/>
    <w:rsid w:val="005E086C"/>
    <w:rsid w:val="00604816"/>
    <w:rsid w:val="0060598B"/>
    <w:rsid w:val="00611FD6"/>
    <w:rsid w:val="0061401D"/>
    <w:rsid w:val="0061567D"/>
    <w:rsid w:val="006220C4"/>
    <w:rsid w:val="006236BC"/>
    <w:rsid w:val="00626A87"/>
    <w:rsid w:val="00632171"/>
    <w:rsid w:val="006347A1"/>
    <w:rsid w:val="006350FB"/>
    <w:rsid w:val="006356B7"/>
    <w:rsid w:val="00642753"/>
    <w:rsid w:val="0064502A"/>
    <w:rsid w:val="0064787A"/>
    <w:rsid w:val="00647DF9"/>
    <w:rsid w:val="006551DE"/>
    <w:rsid w:val="00655C6F"/>
    <w:rsid w:val="00666B28"/>
    <w:rsid w:val="0067056E"/>
    <w:rsid w:val="006722F2"/>
    <w:rsid w:val="00673ACB"/>
    <w:rsid w:val="00683279"/>
    <w:rsid w:val="00684FE5"/>
    <w:rsid w:val="00686399"/>
    <w:rsid w:val="00686497"/>
    <w:rsid w:val="00690E2F"/>
    <w:rsid w:val="006939C9"/>
    <w:rsid w:val="006A043A"/>
    <w:rsid w:val="006A1A23"/>
    <w:rsid w:val="006A1B38"/>
    <w:rsid w:val="006A5FD3"/>
    <w:rsid w:val="006A7435"/>
    <w:rsid w:val="006B2AAB"/>
    <w:rsid w:val="006B664A"/>
    <w:rsid w:val="006B6FA0"/>
    <w:rsid w:val="006C17D5"/>
    <w:rsid w:val="006C340E"/>
    <w:rsid w:val="006C609E"/>
    <w:rsid w:val="006C725F"/>
    <w:rsid w:val="006E04C8"/>
    <w:rsid w:val="006E4FF9"/>
    <w:rsid w:val="006F1760"/>
    <w:rsid w:val="006F1F65"/>
    <w:rsid w:val="006F539A"/>
    <w:rsid w:val="007018F0"/>
    <w:rsid w:val="0070729E"/>
    <w:rsid w:val="00711FAD"/>
    <w:rsid w:val="00715059"/>
    <w:rsid w:val="00715098"/>
    <w:rsid w:val="00717805"/>
    <w:rsid w:val="00717CC6"/>
    <w:rsid w:val="007214FA"/>
    <w:rsid w:val="007230E7"/>
    <w:rsid w:val="007255B5"/>
    <w:rsid w:val="007322A4"/>
    <w:rsid w:val="0073375C"/>
    <w:rsid w:val="00733F55"/>
    <w:rsid w:val="0073447A"/>
    <w:rsid w:val="007345D5"/>
    <w:rsid w:val="00735988"/>
    <w:rsid w:val="00740E6C"/>
    <w:rsid w:val="007435B9"/>
    <w:rsid w:val="00755B93"/>
    <w:rsid w:val="007605D0"/>
    <w:rsid w:val="00760CAD"/>
    <w:rsid w:val="007668EA"/>
    <w:rsid w:val="007706C4"/>
    <w:rsid w:val="00774846"/>
    <w:rsid w:val="007752AE"/>
    <w:rsid w:val="00784C95"/>
    <w:rsid w:val="0078696D"/>
    <w:rsid w:val="00787A94"/>
    <w:rsid w:val="00795C94"/>
    <w:rsid w:val="007972B2"/>
    <w:rsid w:val="007A185A"/>
    <w:rsid w:val="007A2F07"/>
    <w:rsid w:val="007A3D6D"/>
    <w:rsid w:val="007A47EA"/>
    <w:rsid w:val="007A4D7C"/>
    <w:rsid w:val="007B292C"/>
    <w:rsid w:val="007B5C61"/>
    <w:rsid w:val="007C23AB"/>
    <w:rsid w:val="007C2723"/>
    <w:rsid w:val="007C2729"/>
    <w:rsid w:val="007C44F3"/>
    <w:rsid w:val="007D2043"/>
    <w:rsid w:val="007D2862"/>
    <w:rsid w:val="007D6DD5"/>
    <w:rsid w:val="007E021E"/>
    <w:rsid w:val="007E0B58"/>
    <w:rsid w:val="007E3A2B"/>
    <w:rsid w:val="007E6FEC"/>
    <w:rsid w:val="007F7DBD"/>
    <w:rsid w:val="008048F8"/>
    <w:rsid w:val="00805414"/>
    <w:rsid w:val="00811395"/>
    <w:rsid w:val="00823A6E"/>
    <w:rsid w:val="008249D6"/>
    <w:rsid w:val="00826C1E"/>
    <w:rsid w:val="00827A33"/>
    <w:rsid w:val="00832E11"/>
    <w:rsid w:val="00834FD1"/>
    <w:rsid w:val="0083643F"/>
    <w:rsid w:val="0083796F"/>
    <w:rsid w:val="00840664"/>
    <w:rsid w:val="008409DB"/>
    <w:rsid w:val="0084278F"/>
    <w:rsid w:val="00842C9A"/>
    <w:rsid w:val="00852C21"/>
    <w:rsid w:val="00853563"/>
    <w:rsid w:val="008541FB"/>
    <w:rsid w:val="008567FB"/>
    <w:rsid w:val="00857682"/>
    <w:rsid w:val="008603CE"/>
    <w:rsid w:val="0086221D"/>
    <w:rsid w:val="008625E9"/>
    <w:rsid w:val="00870CF4"/>
    <w:rsid w:val="00880A3C"/>
    <w:rsid w:val="00881B23"/>
    <w:rsid w:val="008857C8"/>
    <w:rsid w:val="00886C98"/>
    <w:rsid w:val="00892031"/>
    <w:rsid w:val="008936CB"/>
    <w:rsid w:val="008A2058"/>
    <w:rsid w:val="008A59FC"/>
    <w:rsid w:val="008A7125"/>
    <w:rsid w:val="008B0AB6"/>
    <w:rsid w:val="008B561F"/>
    <w:rsid w:val="008B742A"/>
    <w:rsid w:val="008C084E"/>
    <w:rsid w:val="008C5EF8"/>
    <w:rsid w:val="008C6127"/>
    <w:rsid w:val="008C7306"/>
    <w:rsid w:val="008C7D31"/>
    <w:rsid w:val="008D0936"/>
    <w:rsid w:val="008D7627"/>
    <w:rsid w:val="008E087D"/>
    <w:rsid w:val="008E0EDC"/>
    <w:rsid w:val="008E1B91"/>
    <w:rsid w:val="008E2A5B"/>
    <w:rsid w:val="008E46DF"/>
    <w:rsid w:val="008E5714"/>
    <w:rsid w:val="008E65C3"/>
    <w:rsid w:val="008E67E2"/>
    <w:rsid w:val="008E6BC1"/>
    <w:rsid w:val="008F25AC"/>
    <w:rsid w:val="008F25C7"/>
    <w:rsid w:val="008F27B0"/>
    <w:rsid w:val="008F5CE4"/>
    <w:rsid w:val="008F76C7"/>
    <w:rsid w:val="008F7CA8"/>
    <w:rsid w:val="00901DCA"/>
    <w:rsid w:val="00902D8A"/>
    <w:rsid w:val="0090613C"/>
    <w:rsid w:val="009125BE"/>
    <w:rsid w:val="00913703"/>
    <w:rsid w:val="009149E3"/>
    <w:rsid w:val="0091561A"/>
    <w:rsid w:val="00916D28"/>
    <w:rsid w:val="009174C3"/>
    <w:rsid w:val="0092023E"/>
    <w:rsid w:val="0093053B"/>
    <w:rsid w:val="009364BD"/>
    <w:rsid w:val="00937461"/>
    <w:rsid w:val="0094116C"/>
    <w:rsid w:val="0094271A"/>
    <w:rsid w:val="00947D53"/>
    <w:rsid w:val="00951C0A"/>
    <w:rsid w:val="009536CB"/>
    <w:rsid w:val="00953800"/>
    <w:rsid w:val="00954CD7"/>
    <w:rsid w:val="0095605C"/>
    <w:rsid w:val="0096264B"/>
    <w:rsid w:val="009660F9"/>
    <w:rsid w:val="00976A38"/>
    <w:rsid w:val="00981412"/>
    <w:rsid w:val="00982FFD"/>
    <w:rsid w:val="009865C1"/>
    <w:rsid w:val="00991BE7"/>
    <w:rsid w:val="00994293"/>
    <w:rsid w:val="009A059F"/>
    <w:rsid w:val="009A67BC"/>
    <w:rsid w:val="009A6ABC"/>
    <w:rsid w:val="009A6EF2"/>
    <w:rsid w:val="009B434E"/>
    <w:rsid w:val="009B4C6D"/>
    <w:rsid w:val="009C035B"/>
    <w:rsid w:val="009C04A2"/>
    <w:rsid w:val="009C27B6"/>
    <w:rsid w:val="009C58A2"/>
    <w:rsid w:val="009C780A"/>
    <w:rsid w:val="009D5635"/>
    <w:rsid w:val="009E49DF"/>
    <w:rsid w:val="009E5180"/>
    <w:rsid w:val="009E51A8"/>
    <w:rsid w:val="009E5968"/>
    <w:rsid w:val="009E5C93"/>
    <w:rsid w:val="009E63B1"/>
    <w:rsid w:val="009F3B98"/>
    <w:rsid w:val="009F4881"/>
    <w:rsid w:val="009F5573"/>
    <w:rsid w:val="009F6E7F"/>
    <w:rsid w:val="00A01489"/>
    <w:rsid w:val="00A0164C"/>
    <w:rsid w:val="00A1164A"/>
    <w:rsid w:val="00A117B7"/>
    <w:rsid w:val="00A155FD"/>
    <w:rsid w:val="00A15D3A"/>
    <w:rsid w:val="00A17900"/>
    <w:rsid w:val="00A17D59"/>
    <w:rsid w:val="00A21E27"/>
    <w:rsid w:val="00A24E3E"/>
    <w:rsid w:val="00A303BF"/>
    <w:rsid w:val="00A33029"/>
    <w:rsid w:val="00A3669C"/>
    <w:rsid w:val="00A36E9E"/>
    <w:rsid w:val="00A43A61"/>
    <w:rsid w:val="00A46C6C"/>
    <w:rsid w:val="00A517E6"/>
    <w:rsid w:val="00A51FCA"/>
    <w:rsid w:val="00A56C18"/>
    <w:rsid w:val="00A618FC"/>
    <w:rsid w:val="00A61A31"/>
    <w:rsid w:val="00A6214E"/>
    <w:rsid w:val="00A7149B"/>
    <w:rsid w:val="00A71CB9"/>
    <w:rsid w:val="00A72CF2"/>
    <w:rsid w:val="00A73C98"/>
    <w:rsid w:val="00A7482C"/>
    <w:rsid w:val="00A74DFD"/>
    <w:rsid w:val="00A76D5E"/>
    <w:rsid w:val="00A813D3"/>
    <w:rsid w:val="00A844F0"/>
    <w:rsid w:val="00A85955"/>
    <w:rsid w:val="00A8614F"/>
    <w:rsid w:val="00A957AB"/>
    <w:rsid w:val="00A960F6"/>
    <w:rsid w:val="00AA1BCF"/>
    <w:rsid w:val="00AA2D66"/>
    <w:rsid w:val="00AA53DC"/>
    <w:rsid w:val="00AA5BE9"/>
    <w:rsid w:val="00AA6299"/>
    <w:rsid w:val="00AB0406"/>
    <w:rsid w:val="00AB0A66"/>
    <w:rsid w:val="00AB26EF"/>
    <w:rsid w:val="00AB32BC"/>
    <w:rsid w:val="00AC1A34"/>
    <w:rsid w:val="00AC208D"/>
    <w:rsid w:val="00AC2D9E"/>
    <w:rsid w:val="00AC7957"/>
    <w:rsid w:val="00AD29C7"/>
    <w:rsid w:val="00AD3305"/>
    <w:rsid w:val="00AD6A67"/>
    <w:rsid w:val="00AE0484"/>
    <w:rsid w:val="00AE451B"/>
    <w:rsid w:val="00AE468E"/>
    <w:rsid w:val="00AE5852"/>
    <w:rsid w:val="00AE5CEF"/>
    <w:rsid w:val="00AE69A2"/>
    <w:rsid w:val="00AE6F35"/>
    <w:rsid w:val="00AF1370"/>
    <w:rsid w:val="00AF274C"/>
    <w:rsid w:val="00AF5390"/>
    <w:rsid w:val="00B01B6D"/>
    <w:rsid w:val="00B11DCF"/>
    <w:rsid w:val="00B12C2C"/>
    <w:rsid w:val="00B13DB5"/>
    <w:rsid w:val="00B14543"/>
    <w:rsid w:val="00B1724F"/>
    <w:rsid w:val="00B24943"/>
    <w:rsid w:val="00B306C0"/>
    <w:rsid w:val="00B33E03"/>
    <w:rsid w:val="00B3751A"/>
    <w:rsid w:val="00B37F69"/>
    <w:rsid w:val="00B40E4E"/>
    <w:rsid w:val="00B5159A"/>
    <w:rsid w:val="00B568F7"/>
    <w:rsid w:val="00B63D65"/>
    <w:rsid w:val="00B63E08"/>
    <w:rsid w:val="00B658E2"/>
    <w:rsid w:val="00B70AC1"/>
    <w:rsid w:val="00B74736"/>
    <w:rsid w:val="00B824EC"/>
    <w:rsid w:val="00B83679"/>
    <w:rsid w:val="00B84A9A"/>
    <w:rsid w:val="00B908A9"/>
    <w:rsid w:val="00B94FA8"/>
    <w:rsid w:val="00B96220"/>
    <w:rsid w:val="00BA0A61"/>
    <w:rsid w:val="00BA64B8"/>
    <w:rsid w:val="00BB10E8"/>
    <w:rsid w:val="00BB6774"/>
    <w:rsid w:val="00BB79EF"/>
    <w:rsid w:val="00BC307B"/>
    <w:rsid w:val="00BD10EB"/>
    <w:rsid w:val="00BD3D66"/>
    <w:rsid w:val="00BD4388"/>
    <w:rsid w:val="00BE4BF1"/>
    <w:rsid w:val="00BE5945"/>
    <w:rsid w:val="00BE68DC"/>
    <w:rsid w:val="00BF158E"/>
    <w:rsid w:val="00BF2B3D"/>
    <w:rsid w:val="00BF4FAF"/>
    <w:rsid w:val="00C05A92"/>
    <w:rsid w:val="00C10F40"/>
    <w:rsid w:val="00C12089"/>
    <w:rsid w:val="00C145AC"/>
    <w:rsid w:val="00C14B46"/>
    <w:rsid w:val="00C14B99"/>
    <w:rsid w:val="00C22784"/>
    <w:rsid w:val="00C3590A"/>
    <w:rsid w:val="00C434CD"/>
    <w:rsid w:val="00C47DA6"/>
    <w:rsid w:val="00C56E9D"/>
    <w:rsid w:val="00C57AD4"/>
    <w:rsid w:val="00C621D7"/>
    <w:rsid w:val="00C6402D"/>
    <w:rsid w:val="00C70E3F"/>
    <w:rsid w:val="00C716CB"/>
    <w:rsid w:val="00C71F05"/>
    <w:rsid w:val="00C721B5"/>
    <w:rsid w:val="00C74720"/>
    <w:rsid w:val="00C75965"/>
    <w:rsid w:val="00C76020"/>
    <w:rsid w:val="00C82BB1"/>
    <w:rsid w:val="00C85F47"/>
    <w:rsid w:val="00C927A3"/>
    <w:rsid w:val="00C94FBC"/>
    <w:rsid w:val="00CA07AC"/>
    <w:rsid w:val="00CA1C03"/>
    <w:rsid w:val="00CB0991"/>
    <w:rsid w:val="00CB5A7B"/>
    <w:rsid w:val="00CB5CA8"/>
    <w:rsid w:val="00CC1E80"/>
    <w:rsid w:val="00CC2D6A"/>
    <w:rsid w:val="00CC4584"/>
    <w:rsid w:val="00CC47B4"/>
    <w:rsid w:val="00CC523E"/>
    <w:rsid w:val="00CC696A"/>
    <w:rsid w:val="00CD23A9"/>
    <w:rsid w:val="00CE2E9C"/>
    <w:rsid w:val="00CF5CB6"/>
    <w:rsid w:val="00CF607C"/>
    <w:rsid w:val="00CF64F7"/>
    <w:rsid w:val="00CF7228"/>
    <w:rsid w:val="00D002D8"/>
    <w:rsid w:val="00D015AB"/>
    <w:rsid w:val="00D033BC"/>
    <w:rsid w:val="00D03ECD"/>
    <w:rsid w:val="00D07C76"/>
    <w:rsid w:val="00D10AF1"/>
    <w:rsid w:val="00D13A05"/>
    <w:rsid w:val="00D14AD0"/>
    <w:rsid w:val="00D15AB3"/>
    <w:rsid w:val="00D16F46"/>
    <w:rsid w:val="00D17B61"/>
    <w:rsid w:val="00D20F34"/>
    <w:rsid w:val="00D21B0E"/>
    <w:rsid w:val="00D251D2"/>
    <w:rsid w:val="00D257FA"/>
    <w:rsid w:val="00D34B3C"/>
    <w:rsid w:val="00D361A2"/>
    <w:rsid w:val="00D41151"/>
    <w:rsid w:val="00D466A5"/>
    <w:rsid w:val="00D47732"/>
    <w:rsid w:val="00D477B4"/>
    <w:rsid w:val="00D5187C"/>
    <w:rsid w:val="00D53F29"/>
    <w:rsid w:val="00D578FC"/>
    <w:rsid w:val="00D64974"/>
    <w:rsid w:val="00D65E38"/>
    <w:rsid w:val="00D66534"/>
    <w:rsid w:val="00D67EAE"/>
    <w:rsid w:val="00D743F7"/>
    <w:rsid w:val="00D76AD3"/>
    <w:rsid w:val="00D84114"/>
    <w:rsid w:val="00D86AFA"/>
    <w:rsid w:val="00D86F11"/>
    <w:rsid w:val="00D95BA1"/>
    <w:rsid w:val="00D971FE"/>
    <w:rsid w:val="00D9788E"/>
    <w:rsid w:val="00D97E41"/>
    <w:rsid w:val="00DA54FE"/>
    <w:rsid w:val="00DA6B14"/>
    <w:rsid w:val="00DA7612"/>
    <w:rsid w:val="00DB07B5"/>
    <w:rsid w:val="00DB1949"/>
    <w:rsid w:val="00DB35D7"/>
    <w:rsid w:val="00DB4150"/>
    <w:rsid w:val="00DC13AD"/>
    <w:rsid w:val="00DC15D4"/>
    <w:rsid w:val="00DC34EA"/>
    <w:rsid w:val="00DD111C"/>
    <w:rsid w:val="00DD2E5C"/>
    <w:rsid w:val="00DD47DE"/>
    <w:rsid w:val="00DD6415"/>
    <w:rsid w:val="00DE056B"/>
    <w:rsid w:val="00DE3122"/>
    <w:rsid w:val="00DE321A"/>
    <w:rsid w:val="00DF1C7A"/>
    <w:rsid w:val="00DF4530"/>
    <w:rsid w:val="00DF4BEB"/>
    <w:rsid w:val="00E00E70"/>
    <w:rsid w:val="00E04864"/>
    <w:rsid w:val="00E106FC"/>
    <w:rsid w:val="00E10EB7"/>
    <w:rsid w:val="00E14CD3"/>
    <w:rsid w:val="00E217B1"/>
    <w:rsid w:val="00E22828"/>
    <w:rsid w:val="00E230CC"/>
    <w:rsid w:val="00E238AE"/>
    <w:rsid w:val="00E246C3"/>
    <w:rsid w:val="00E259A1"/>
    <w:rsid w:val="00E25C8C"/>
    <w:rsid w:val="00E27002"/>
    <w:rsid w:val="00E27D2D"/>
    <w:rsid w:val="00E36686"/>
    <w:rsid w:val="00E40BD9"/>
    <w:rsid w:val="00E42611"/>
    <w:rsid w:val="00E43C85"/>
    <w:rsid w:val="00E46438"/>
    <w:rsid w:val="00E47283"/>
    <w:rsid w:val="00E527F8"/>
    <w:rsid w:val="00E53274"/>
    <w:rsid w:val="00E5333B"/>
    <w:rsid w:val="00E541C4"/>
    <w:rsid w:val="00E55874"/>
    <w:rsid w:val="00E56300"/>
    <w:rsid w:val="00E5716E"/>
    <w:rsid w:val="00E576A5"/>
    <w:rsid w:val="00E60DCE"/>
    <w:rsid w:val="00E62538"/>
    <w:rsid w:val="00E6346B"/>
    <w:rsid w:val="00E67637"/>
    <w:rsid w:val="00E678A5"/>
    <w:rsid w:val="00E7209D"/>
    <w:rsid w:val="00E727AB"/>
    <w:rsid w:val="00E74516"/>
    <w:rsid w:val="00E76E3E"/>
    <w:rsid w:val="00E77C79"/>
    <w:rsid w:val="00E80C31"/>
    <w:rsid w:val="00E817FE"/>
    <w:rsid w:val="00E82BA3"/>
    <w:rsid w:val="00E83B28"/>
    <w:rsid w:val="00E8454F"/>
    <w:rsid w:val="00E90808"/>
    <w:rsid w:val="00E9313C"/>
    <w:rsid w:val="00E93350"/>
    <w:rsid w:val="00EA1AD2"/>
    <w:rsid w:val="00EB29F3"/>
    <w:rsid w:val="00EB5EFC"/>
    <w:rsid w:val="00EB6F24"/>
    <w:rsid w:val="00EB7BD0"/>
    <w:rsid w:val="00EC00B9"/>
    <w:rsid w:val="00EC101B"/>
    <w:rsid w:val="00EC126D"/>
    <w:rsid w:val="00EC6E9B"/>
    <w:rsid w:val="00ED2734"/>
    <w:rsid w:val="00ED5E87"/>
    <w:rsid w:val="00ED685E"/>
    <w:rsid w:val="00ED69FE"/>
    <w:rsid w:val="00ED77DF"/>
    <w:rsid w:val="00EE003A"/>
    <w:rsid w:val="00EE22AE"/>
    <w:rsid w:val="00EF56E9"/>
    <w:rsid w:val="00EF5EC9"/>
    <w:rsid w:val="00EF6169"/>
    <w:rsid w:val="00F048F3"/>
    <w:rsid w:val="00F05734"/>
    <w:rsid w:val="00F115BE"/>
    <w:rsid w:val="00F11995"/>
    <w:rsid w:val="00F11D7E"/>
    <w:rsid w:val="00F12820"/>
    <w:rsid w:val="00F161FD"/>
    <w:rsid w:val="00F1639E"/>
    <w:rsid w:val="00F20A77"/>
    <w:rsid w:val="00F247A1"/>
    <w:rsid w:val="00F25352"/>
    <w:rsid w:val="00F25F90"/>
    <w:rsid w:val="00F479DE"/>
    <w:rsid w:val="00F51448"/>
    <w:rsid w:val="00F57DB0"/>
    <w:rsid w:val="00F61AA4"/>
    <w:rsid w:val="00F62503"/>
    <w:rsid w:val="00F626DF"/>
    <w:rsid w:val="00F630C6"/>
    <w:rsid w:val="00F74A2E"/>
    <w:rsid w:val="00F76EA8"/>
    <w:rsid w:val="00F80595"/>
    <w:rsid w:val="00F8652D"/>
    <w:rsid w:val="00F87035"/>
    <w:rsid w:val="00F90B00"/>
    <w:rsid w:val="00F94A87"/>
    <w:rsid w:val="00F96F4C"/>
    <w:rsid w:val="00FA04D4"/>
    <w:rsid w:val="00FA1C33"/>
    <w:rsid w:val="00FA4949"/>
    <w:rsid w:val="00FA7DBB"/>
    <w:rsid w:val="00FB3249"/>
    <w:rsid w:val="00FB35DB"/>
    <w:rsid w:val="00FD14FA"/>
    <w:rsid w:val="00FD56F6"/>
    <w:rsid w:val="00FD5DBC"/>
    <w:rsid w:val="00FE152C"/>
    <w:rsid w:val="00FE282C"/>
    <w:rsid w:val="00FE2FBB"/>
    <w:rsid w:val="00FE5206"/>
    <w:rsid w:val="00FF0BD2"/>
    <w:rsid w:val="00FF0C86"/>
    <w:rsid w:val="00FF6BAE"/>
    <w:rsid w:val="00FF7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6A5A"/>
  <w15:docId w15:val="{0B4A6F9D-727E-4A08-88C1-2B6EF52B7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5C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CF2"/>
  </w:style>
  <w:style w:type="paragraph" w:styleId="Footer">
    <w:name w:val="footer"/>
    <w:basedOn w:val="Normal"/>
    <w:link w:val="FooterChar"/>
    <w:uiPriority w:val="99"/>
    <w:unhideWhenUsed/>
    <w:rsid w:val="00A72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F2"/>
  </w:style>
  <w:style w:type="paragraph" w:styleId="ListParagraph">
    <w:name w:val="List Paragraph"/>
    <w:aliases w:val="Lists"/>
    <w:basedOn w:val="Normal"/>
    <w:link w:val="ListParagraphChar"/>
    <w:uiPriority w:val="34"/>
    <w:qFormat/>
    <w:rsid w:val="00526FCC"/>
    <w:pPr>
      <w:ind w:left="720"/>
      <w:contextualSpacing/>
    </w:pPr>
  </w:style>
  <w:style w:type="paragraph" w:styleId="NormalWeb">
    <w:name w:val="Normal (Web)"/>
    <w:basedOn w:val="Normal"/>
    <w:uiPriority w:val="99"/>
    <w:unhideWhenUsed/>
    <w:rsid w:val="00526F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82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F2"/>
    <w:rPr>
      <w:rFonts w:ascii="Segoe UI" w:hAnsi="Segoe UI" w:cs="Segoe UI"/>
      <w:sz w:val="18"/>
      <w:szCs w:val="18"/>
    </w:rPr>
  </w:style>
  <w:style w:type="character" w:styleId="CommentReference">
    <w:name w:val="annotation reference"/>
    <w:basedOn w:val="DefaultParagraphFont"/>
    <w:uiPriority w:val="99"/>
    <w:semiHidden/>
    <w:unhideWhenUsed/>
    <w:rsid w:val="00DD111C"/>
    <w:rPr>
      <w:sz w:val="16"/>
      <w:szCs w:val="16"/>
    </w:rPr>
  </w:style>
  <w:style w:type="paragraph" w:styleId="CommentText">
    <w:name w:val="annotation text"/>
    <w:basedOn w:val="Normal"/>
    <w:link w:val="CommentTextChar"/>
    <w:uiPriority w:val="99"/>
    <w:semiHidden/>
    <w:unhideWhenUsed/>
    <w:rsid w:val="00DD111C"/>
    <w:pPr>
      <w:spacing w:line="240" w:lineRule="auto"/>
    </w:pPr>
    <w:rPr>
      <w:sz w:val="20"/>
      <w:szCs w:val="20"/>
    </w:rPr>
  </w:style>
  <w:style w:type="character" w:customStyle="1" w:styleId="CommentTextChar">
    <w:name w:val="Comment Text Char"/>
    <w:basedOn w:val="DefaultParagraphFont"/>
    <w:link w:val="CommentText"/>
    <w:uiPriority w:val="99"/>
    <w:semiHidden/>
    <w:rsid w:val="00DD111C"/>
    <w:rPr>
      <w:sz w:val="20"/>
      <w:szCs w:val="20"/>
    </w:rPr>
  </w:style>
  <w:style w:type="paragraph" w:styleId="CommentSubject">
    <w:name w:val="annotation subject"/>
    <w:basedOn w:val="CommentText"/>
    <w:next w:val="CommentText"/>
    <w:link w:val="CommentSubjectChar"/>
    <w:uiPriority w:val="99"/>
    <w:semiHidden/>
    <w:unhideWhenUsed/>
    <w:rsid w:val="00DD111C"/>
    <w:rPr>
      <w:b/>
      <w:bCs/>
    </w:rPr>
  </w:style>
  <w:style w:type="character" w:customStyle="1" w:styleId="CommentSubjectChar">
    <w:name w:val="Comment Subject Char"/>
    <w:basedOn w:val="CommentTextChar"/>
    <w:link w:val="CommentSubject"/>
    <w:uiPriority w:val="99"/>
    <w:semiHidden/>
    <w:rsid w:val="00DD111C"/>
    <w:rPr>
      <w:b/>
      <w:bCs/>
      <w:sz w:val="20"/>
      <w:szCs w:val="20"/>
    </w:rPr>
  </w:style>
  <w:style w:type="paragraph" w:styleId="Revision">
    <w:name w:val="Revision"/>
    <w:hidden/>
    <w:uiPriority w:val="99"/>
    <w:semiHidden/>
    <w:rsid w:val="003267B9"/>
    <w:pPr>
      <w:spacing w:after="0" w:line="240" w:lineRule="auto"/>
    </w:pPr>
  </w:style>
  <w:style w:type="character" w:customStyle="1" w:styleId="Heading2Char">
    <w:name w:val="Heading 2 Char"/>
    <w:basedOn w:val="DefaultParagraphFont"/>
    <w:link w:val="Heading2"/>
    <w:uiPriority w:val="9"/>
    <w:rsid w:val="00225C9A"/>
    <w:rPr>
      <w:rFonts w:ascii="Times New Roman" w:eastAsia="Times New Roman" w:hAnsi="Times New Roman" w:cs="Times New Roman"/>
      <w:b/>
      <w:bCs/>
      <w:sz w:val="36"/>
      <w:szCs w:val="36"/>
    </w:rPr>
  </w:style>
  <w:style w:type="character" w:styleId="Strong">
    <w:name w:val="Strong"/>
    <w:basedOn w:val="DefaultParagraphFont"/>
    <w:uiPriority w:val="22"/>
    <w:qFormat/>
    <w:rsid w:val="00225C9A"/>
    <w:rPr>
      <w:b/>
      <w:bCs/>
    </w:rPr>
  </w:style>
  <w:style w:type="character" w:styleId="Hyperlink">
    <w:name w:val="Hyperlink"/>
    <w:basedOn w:val="DefaultParagraphFont"/>
    <w:uiPriority w:val="99"/>
    <w:semiHidden/>
    <w:unhideWhenUsed/>
    <w:rsid w:val="00225C9A"/>
    <w:rPr>
      <w:color w:val="0000FF"/>
      <w:u w:val="single"/>
    </w:rPr>
  </w:style>
  <w:style w:type="character" w:customStyle="1" w:styleId="apple-converted-space">
    <w:name w:val="apple-converted-space"/>
    <w:basedOn w:val="DefaultParagraphFont"/>
    <w:rsid w:val="00225C9A"/>
  </w:style>
  <w:style w:type="character" w:styleId="Emphasis">
    <w:name w:val="Emphasis"/>
    <w:basedOn w:val="DefaultParagraphFont"/>
    <w:uiPriority w:val="20"/>
    <w:qFormat/>
    <w:rsid w:val="00225C9A"/>
    <w:rPr>
      <w:i/>
      <w:iCs/>
    </w:rPr>
  </w:style>
  <w:style w:type="paragraph" w:styleId="NoSpacing">
    <w:name w:val="No Spacing"/>
    <w:link w:val="NoSpacingChar"/>
    <w:uiPriority w:val="1"/>
    <w:qFormat/>
    <w:rsid w:val="007E3A2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E3A2B"/>
    <w:rPr>
      <w:rFonts w:eastAsiaTheme="minorEastAsia"/>
      <w:lang w:eastAsia="ja-JP"/>
    </w:rPr>
  </w:style>
  <w:style w:type="paragraph" w:customStyle="1" w:styleId="m7323473018709100438msolistparagraph">
    <w:name w:val="m_7323473018709100438msolistparagraph"/>
    <w:basedOn w:val="Normal"/>
    <w:rsid w:val="00E426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Shading1-Accent11">
    <w:name w:val="Medium Shading 1 - Accent 11"/>
    <w:qFormat/>
    <w:rsid w:val="00CB5CA8"/>
    <w:pPr>
      <w:spacing w:after="0" w:line="240" w:lineRule="auto"/>
    </w:pPr>
    <w:rPr>
      <w:rFonts w:ascii="Calibri" w:eastAsia="Calibri" w:hAnsi="Calibri" w:cs="Times New Roman"/>
    </w:rPr>
  </w:style>
  <w:style w:type="character" w:customStyle="1" w:styleId="ListParagraphChar">
    <w:name w:val="List Paragraph Char"/>
    <w:aliases w:val="Lists Char"/>
    <w:basedOn w:val="DefaultParagraphFont"/>
    <w:link w:val="ListParagraph"/>
    <w:uiPriority w:val="99"/>
    <w:rsid w:val="00225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6872">
      <w:bodyDiv w:val="1"/>
      <w:marLeft w:val="0"/>
      <w:marRight w:val="0"/>
      <w:marTop w:val="0"/>
      <w:marBottom w:val="0"/>
      <w:divBdr>
        <w:top w:val="none" w:sz="0" w:space="0" w:color="auto"/>
        <w:left w:val="none" w:sz="0" w:space="0" w:color="auto"/>
        <w:bottom w:val="none" w:sz="0" w:space="0" w:color="auto"/>
        <w:right w:val="none" w:sz="0" w:space="0" w:color="auto"/>
      </w:divBdr>
    </w:div>
    <w:div w:id="148329150">
      <w:bodyDiv w:val="1"/>
      <w:marLeft w:val="0"/>
      <w:marRight w:val="0"/>
      <w:marTop w:val="0"/>
      <w:marBottom w:val="0"/>
      <w:divBdr>
        <w:top w:val="none" w:sz="0" w:space="0" w:color="auto"/>
        <w:left w:val="none" w:sz="0" w:space="0" w:color="auto"/>
        <w:bottom w:val="none" w:sz="0" w:space="0" w:color="auto"/>
        <w:right w:val="none" w:sz="0" w:space="0" w:color="auto"/>
      </w:divBdr>
    </w:div>
    <w:div w:id="309019617">
      <w:bodyDiv w:val="1"/>
      <w:marLeft w:val="0"/>
      <w:marRight w:val="0"/>
      <w:marTop w:val="0"/>
      <w:marBottom w:val="0"/>
      <w:divBdr>
        <w:top w:val="none" w:sz="0" w:space="0" w:color="auto"/>
        <w:left w:val="none" w:sz="0" w:space="0" w:color="auto"/>
        <w:bottom w:val="none" w:sz="0" w:space="0" w:color="auto"/>
        <w:right w:val="none" w:sz="0" w:space="0" w:color="auto"/>
      </w:divBdr>
    </w:div>
    <w:div w:id="601229070">
      <w:bodyDiv w:val="1"/>
      <w:marLeft w:val="0"/>
      <w:marRight w:val="0"/>
      <w:marTop w:val="0"/>
      <w:marBottom w:val="0"/>
      <w:divBdr>
        <w:top w:val="none" w:sz="0" w:space="0" w:color="auto"/>
        <w:left w:val="none" w:sz="0" w:space="0" w:color="auto"/>
        <w:bottom w:val="none" w:sz="0" w:space="0" w:color="auto"/>
        <w:right w:val="none" w:sz="0" w:space="0" w:color="auto"/>
      </w:divBdr>
    </w:div>
    <w:div w:id="635185265">
      <w:bodyDiv w:val="1"/>
      <w:marLeft w:val="0"/>
      <w:marRight w:val="0"/>
      <w:marTop w:val="0"/>
      <w:marBottom w:val="0"/>
      <w:divBdr>
        <w:top w:val="none" w:sz="0" w:space="0" w:color="auto"/>
        <w:left w:val="none" w:sz="0" w:space="0" w:color="auto"/>
        <w:bottom w:val="none" w:sz="0" w:space="0" w:color="auto"/>
        <w:right w:val="none" w:sz="0" w:space="0" w:color="auto"/>
      </w:divBdr>
      <w:divsChild>
        <w:div w:id="773981075">
          <w:marLeft w:val="720"/>
          <w:marRight w:val="0"/>
          <w:marTop w:val="0"/>
          <w:marBottom w:val="0"/>
          <w:divBdr>
            <w:top w:val="none" w:sz="0" w:space="0" w:color="auto"/>
            <w:left w:val="none" w:sz="0" w:space="0" w:color="auto"/>
            <w:bottom w:val="none" w:sz="0" w:space="0" w:color="auto"/>
            <w:right w:val="none" w:sz="0" w:space="0" w:color="auto"/>
          </w:divBdr>
        </w:div>
      </w:divsChild>
    </w:div>
    <w:div w:id="751008049">
      <w:bodyDiv w:val="1"/>
      <w:marLeft w:val="0"/>
      <w:marRight w:val="0"/>
      <w:marTop w:val="0"/>
      <w:marBottom w:val="0"/>
      <w:divBdr>
        <w:top w:val="none" w:sz="0" w:space="0" w:color="auto"/>
        <w:left w:val="none" w:sz="0" w:space="0" w:color="auto"/>
        <w:bottom w:val="none" w:sz="0" w:space="0" w:color="auto"/>
        <w:right w:val="none" w:sz="0" w:space="0" w:color="auto"/>
      </w:divBdr>
    </w:div>
    <w:div w:id="812261552">
      <w:bodyDiv w:val="1"/>
      <w:marLeft w:val="0"/>
      <w:marRight w:val="0"/>
      <w:marTop w:val="0"/>
      <w:marBottom w:val="0"/>
      <w:divBdr>
        <w:top w:val="none" w:sz="0" w:space="0" w:color="auto"/>
        <w:left w:val="none" w:sz="0" w:space="0" w:color="auto"/>
        <w:bottom w:val="none" w:sz="0" w:space="0" w:color="auto"/>
        <w:right w:val="none" w:sz="0" w:space="0" w:color="auto"/>
      </w:divBdr>
      <w:divsChild>
        <w:div w:id="86780402">
          <w:marLeft w:val="1253"/>
          <w:marRight w:val="0"/>
          <w:marTop w:val="0"/>
          <w:marBottom w:val="0"/>
          <w:divBdr>
            <w:top w:val="none" w:sz="0" w:space="0" w:color="auto"/>
            <w:left w:val="none" w:sz="0" w:space="0" w:color="auto"/>
            <w:bottom w:val="none" w:sz="0" w:space="0" w:color="auto"/>
            <w:right w:val="none" w:sz="0" w:space="0" w:color="auto"/>
          </w:divBdr>
        </w:div>
        <w:div w:id="268975694">
          <w:marLeft w:val="1253"/>
          <w:marRight w:val="0"/>
          <w:marTop w:val="0"/>
          <w:marBottom w:val="0"/>
          <w:divBdr>
            <w:top w:val="none" w:sz="0" w:space="0" w:color="auto"/>
            <w:left w:val="none" w:sz="0" w:space="0" w:color="auto"/>
            <w:bottom w:val="none" w:sz="0" w:space="0" w:color="auto"/>
            <w:right w:val="none" w:sz="0" w:space="0" w:color="auto"/>
          </w:divBdr>
        </w:div>
        <w:div w:id="390731948">
          <w:marLeft w:val="1253"/>
          <w:marRight w:val="0"/>
          <w:marTop w:val="0"/>
          <w:marBottom w:val="0"/>
          <w:divBdr>
            <w:top w:val="none" w:sz="0" w:space="0" w:color="auto"/>
            <w:left w:val="none" w:sz="0" w:space="0" w:color="auto"/>
            <w:bottom w:val="none" w:sz="0" w:space="0" w:color="auto"/>
            <w:right w:val="none" w:sz="0" w:space="0" w:color="auto"/>
          </w:divBdr>
        </w:div>
        <w:div w:id="555244275">
          <w:marLeft w:val="1253"/>
          <w:marRight w:val="0"/>
          <w:marTop w:val="0"/>
          <w:marBottom w:val="0"/>
          <w:divBdr>
            <w:top w:val="none" w:sz="0" w:space="0" w:color="auto"/>
            <w:left w:val="none" w:sz="0" w:space="0" w:color="auto"/>
            <w:bottom w:val="none" w:sz="0" w:space="0" w:color="auto"/>
            <w:right w:val="none" w:sz="0" w:space="0" w:color="auto"/>
          </w:divBdr>
        </w:div>
        <w:div w:id="614095755">
          <w:marLeft w:val="720"/>
          <w:marRight w:val="0"/>
          <w:marTop w:val="0"/>
          <w:marBottom w:val="0"/>
          <w:divBdr>
            <w:top w:val="none" w:sz="0" w:space="0" w:color="auto"/>
            <w:left w:val="none" w:sz="0" w:space="0" w:color="auto"/>
            <w:bottom w:val="none" w:sz="0" w:space="0" w:color="auto"/>
            <w:right w:val="none" w:sz="0" w:space="0" w:color="auto"/>
          </w:divBdr>
        </w:div>
        <w:div w:id="1990164002">
          <w:marLeft w:val="1253"/>
          <w:marRight w:val="0"/>
          <w:marTop w:val="0"/>
          <w:marBottom w:val="0"/>
          <w:divBdr>
            <w:top w:val="none" w:sz="0" w:space="0" w:color="auto"/>
            <w:left w:val="none" w:sz="0" w:space="0" w:color="auto"/>
            <w:bottom w:val="none" w:sz="0" w:space="0" w:color="auto"/>
            <w:right w:val="none" w:sz="0" w:space="0" w:color="auto"/>
          </w:divBdr>
        </w:div>
        <w:div w:id="2014990829">
          <w:marLeft w:val="1253"/>
          <w:marRight w:val="0"/>
          <w:marTop w:val="0"/>
          <w:marBottom w:val="0"/>
          <w:divBdr>
            <w:top w:val="none" w:sz="0" w:space="0" w:color="auto"/>
            <w:left w:val="none" w:sz="0" w:space="0" w:color="auto"/>
            <w:bottom w:val="none" w:sz="0" w:space="0" w:color="auto"/>
            <w:right w:val="none" w:sz="0" w:space="0" w:color="auto"/>
          </w:divBdr>
        </w:div>
      </w:divsChild>
    </w:div>
    <w:div w:id="1074667869">
      <w:bodyDiv w:val="1"/>
      <w:marLeft w:val="0"/>
      <w:marRight w:val="0"/>
      <w:marTop w:val="0"/>
      <w:marBottom w:val="0"/>
      <w:divBdr>
        <w:top w:val="none" w:sz="0" w:space="0" w:color="auto"/>
        <w:left w:val="none" w:sz="0" w:space="0" w:color="auto"/>
        <w:bottom w:val="none" w:sz="0" w:space="0" w:color="auto"/>
        <w:right w:val="none" w:sz="0" w:space="0" w:color="auto"/>
      </w:divBdr>
      <w:divsChild>
        <w:div w:id="310838034">
          <w:marLeft w:val="720"/>
          <w:marRight w:val="0"/>
          <w:marTop w:val="0"/>
          <w:marBottom w:val="0"/>
          <w:divBdr>
            <w:top w:val="none" w:sz="0" w:space="0" w:color="auto"/>
            <w:left w:val="none" w:sz="0" w:space="0" w:color="auto"/>
            <w:bottom w:val="none" w:sz="0" w:space="0" w:color="auto"/>
            <w:right w:val="none" w:sz="0" w:space="0" w:color="auto"/>
          </w:divBdr>
        </w:div>
        <w:div w:id="1082722250">
          <w:marLeft w:val="720"/>
          <w:marRight w:val="0"/>
          <w:marTop w:val="0"/>
          <w:marBottom w:val="0"/>
          <w:divBdr>
            <w:top w:val="none" w:sz="0" w:space="0" w:color="auto"/>
            <w:left w:val="none" w:sz="0" w:space="0" w:color="auto"/>
            <w:bottom w:val="none" w:sz="0" w:space="0" w:color="auto"/>
            <w:right w:val="none" w:sz="0" w:space="0" w:color="auto"/>
          </w:divBdr>
        </w:div>
        <w:div w:id="1155296258">
          <w:marLeft w:val="720"/>
          <w:marRight w:val="0"/>
          <w:marTop w:val="0"/>
          <w:marBottom w:val="0"/>
          <w:divBdr>
            <w:top w:val="none" w:sz="0" w:space="0" w:color="auto"/>
            <w:left w:val="none" w:sz="0" w:space="0" w:color="auto"/>
            <w:bottom w:val="none" w:sz="0" w:space="0" w:color="auto"/>
            <w:right w:val="none" w:sz="0" w:space="0" w:color="auto"/>
          </w:divBdr>
        </w:div>
      </w:divsChild>
    </w:div>
    <w:div w:id="1520462435">
      <w:bodyDiv w:val="1"/>
      <w:marLeft w:val="0"/>
      <w:marRight w:val="0"/>
      <w:marTop w:val="0"/>
      <w:marBottom w:val="0"/>
      <w:divBdr>
        <w:top w:val="none" w:sz="0" w:space="0" w:color="auto"/>
        <w:left w:val="none" w:sz="0" w:space="0" w:color="auto"/>
        <w:bottom w:val="none" w:sz="0" w:space="0" w:color="auto"/>
        <w:right w:val="none" w:sz="0" w:space="0" w:color="auto"/>
      </w:divBdr>
    </w:div>
    <w:div w:id="208051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troleu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ndex.php?title=Egyptian_Petrochemicals_Holding_Company&amp;action=edit&amp;redlink=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Egyptian_Natural_Gas_Holding_Compan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Egyptian_General_Petroleum_Corporation" TargetMode="External"/><Relationship Id="rId4" Type="http://schemas.openxmlformats.org/officeDocument/2006/relationships/settings" Target="settings.xml"/><Relationship Id="rId9" Type="http://schemas.openxmlformats.org/officeDocument/2006/relationships/hyperlink" Target="https://en.wikipedia.org/wiki/Natural_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9D79-5744-43D6-A0A5-7DAAFFE53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7633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Elhagagy</dc:creator>
  <cp:lastModifiedBy>Adelya Gaifullina</cp:lastModifiedBy>
  <cp:revision>2</cp:revision>
  <cp:lastPrinted>2017-03-30T13:06:00Z</cp:lastPrinted>
  <dcterms:created xsi:type="dcterms:W3CDTF">2020-01-22T05:06:00Z</dcterms:created>
  <dcterms:modified xsi:type="dcterms:W3CDTF">2020-01-22T05:06:00Z</dcterms:modified>
</cp:coreProperties>
</file>